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37" w:rsidRPr="00A123A1" w:rsidRDefault="00FA703D" w:rsidP="00FA703D">
      <w:pPr>
        <w:jc w:val="center"/>
        <w:rPr>
          <w:b/>
          <w:szCs w:val="24"/>
        </w:rPr>
      </w:pPr>
      <w:r w:rsidRPr="00A123A1">
        <w:rPr>
          <w:b/>
          <w:szCs w:val="24"/>
        </w:rPr>
        <w:t>ОБЩИ СВЕДЕНИЯ ЗА ПРЕДМЕТА НА ТЪРГА</w:t>
      </w:r>
    </w:p>
    <w:p w:rsidR="00073AD0" w:rsidRPr="00A123A1" w:rsidRDefault="00073AD0" w:rsidP="00FA703D">
      <w:pPr>
        <w:jc w:val="center"/>
        <w:rPr>
          <w:b/>
          <w:szCs w:val="24"/>
        </w:rPr>
      </w:pPr>
    </w:p>
    <w:p w:rsidR="00073AD0" w:rsidRPr="00A123A1" w:rsidRDefault="00073AD0" w:rsidP="00FA703D">
      <w:pPr>
        <w:jc w:val="center"/>
        <w:rPr>
          <w:szCs w:val="24"/>
        </w:rPr>
      </w:pPr>
    </w:p>
    <w:p w:rsidR="00FA703D" w:rsidRPr="00A123A1" w:rsidRDefault="00FA703D" w:rsidP="00B6743E">
      <w:pPr>
        <w:ind w:left="426"/>
        <w:jc w:val="center"/>
        <w:rPr>
          <w:szCs w:val="24"/>
        </w:rPr>
      </w:pPr>
    </w:p>
    <w:p w:rsidR="00C92E04" w:rsidRPr="00A123A1" w:rsidRDefault="00FA703D" w:rsidP="00A123A1">
      <w:pPr>
        <w:pStyle w:val="ListParagraph"/>
        <w:numPr>
          <w:ilvl w:val="0"/>
          <w:numId w:val="13"/>
        </w:numPr>
        <w:ind w:left="-142" w:hanging="142"/>
        <w:rPr>
          <w:b/>
          <w:i/>
          <w:szCs w:val="24"/>
        </w:rPr>
      </w:pPr>
      <w:r w:rsidRPr="00A123A1">
        <w:rPr>
          <w:b/>
          <w:szCs w:val="24"/>
        </w:rPr>
        <w:t xml:space="preserve">Предмет на </w:t>
      </w:r>
      <w:r w:rsidR="008F62BD" w:rsidRPr="00A123A1">
        <w:rPr>
          <w:b/>
          <w:szCs w:val="24"/>
        </w:rPr>
        <w:t>търга</w:t>
      </w:r>
      <w:r w:rsidR="00AB291A" w:rsidRPr="00A123A1">
        <w:rPr>
          <w:b/>
          <w:szCs w:val="24"/>
        </w:rPr>
        <w:t>:</w:t>
      </w:r>
      <w:r w:rsidR="00C10987" w:rsidRPr="00A123A1">
        <w:rPr>
          <w:szCs w:val="24"/>
        </w:rPr>
        <w:t xml:space="preserve"> </w:t>
      </w:r>
      <w:r w:rsidR="00AB291A" w:rsidRPr="00A123A1">
        <w:rPr>
          <w:szCs w:val="24"/>
        </w:rPr>
        <w:t xml:space="preserve"> </w:t>
      </w:r>
      <w:r w:rsidR="00AB291A" w:rsidRPr="00A123A1">
        <w:rPr>
          <w:b/>
          <w:i/>
          <w:szCs w:val="24"/>
        </w:rPr>
        <w:t>,,</w:t>
      </w:r>
      <w:r w:rsidR="000937C1" w:rsidRPr="00A123A1">
        <w:rPr>
          <w:b/>
          <w:i/>
          <w:szCs w:val="24"/>
        </w:rPr>
        <w:t>Сервизно обслужване на системата за електрохимична защита на магистрален продуктопровод  Бургас – София</w:t>
      </w:r>
      <w:r w:rsidR="00AB291A" w:rsidRPr="00A123A1">
        <w:rPr>
          <w:b/>
          <w:i/>
          <w:szCs w:val="24"/>
        </w:rPr>
        <w:t>‘‘</w:t>
      </w:r>
    </w:p>
    <w:p w:rsidR="00B6743E" w:rsidRPr="00A123A1" w:rsidRDefault="00B6743E" w:rsidP="00B6743E">
      <w:pPr>
        <w:ind w:left="426"/>
        <w:rPr>
          <w:b/>
          <w:i/>
          <w:szCs w:val="24"/>
        </w:rPr>
      </w:pPr>
    </w:p>
    <w:p w:rsidR="00B6743E" w:rsidRPr="00A123A1" w:rsidRDefault="00B6743E" w:rsidP="0021392B">
      <w:pPr>
        <w:pStyle w:val="ListParagraph"/>
        <w:numPr>
          <w:ilvl w:val="0"/>
          <w:numId w:val="20"/>
        </w:numPr>
        <w:ind w:left="-284" w:firstLine="0"/>
        <w:rPr>
          <w:szCs w:val="24"/>
        </w:rPr>
      </w:pPr>
      <w:r w:rsidRPr="00A123A1">
        <w:rPr>
          <w:szCs w:val="24"/>
        </w:rPr>
        <w:t>Месечен обход на трасето и настройка на катодните станции;</w:t>
      </w:r>
    </w:p>
    <w:p w:rsidR="00B6743E" w:rsidRPr="00A123A1" w:rsidRDefault="00B6743E" w:rsidP="0021392B">
      <w:pPr>
        <w:pStyle w:val="ListParagraph"/>
        <w:numPr>
          <w:ilvl w:val="0"/>
          <w:numId w:val="20"/>
        </w:numPr>
        <w:ind w:left="-284" w:firstLine="0"/>
        <w:rPr>
          <w:szCs w:val="24"/>
        </w:rPr>
      </w:pPr>
      <w:r w:rsidRPr="00A123A1">
        <w:rPr>
          <w:szCs w:val="24"/>
        </w:rPr>
        <w:t>Осигуряване на минимален защитен потенциал по цялата дължина на магистралния продуктопровод, съгласно изискванията на БДС15704-83,(т.е. -0,85V - спрямо медно-сулфатен сравнителен електрод);</w:t>
      </w:r>
    </w:p>
    <w:p w:rsidR="00B6743E" w:rsidRPr="00A123A1" w:rsidRDefault="00B6743E" w:rsidP="0021392B">
      <w:pPr>
        <w:pStyle w:val="ListParagraph"/>
        <w:numPr>
          <w:ilvl w:val="1"/>
          <w:numId w:val="20"/>
        </w:numPr>
        <w:ind w:left="-284" w:firstLine="0"/>
        <w:rPr>
          <w:szCs w:val="24"/>
        </w:rPr>
      </w:pPr>
      <w:r w:rsidRPr="00A123A1">
        <w:rPr>
          <w:szCs w:val="24"/>
        </w:rPr>
        <w:t>Техническа поддръжка, профилактика и ремонт на катодните станции, отстраняване на възникналите повреди, включително и подмяната с резервна КС, ако е невъзможно повредата да се отстрани на място;</w:t>
      </w:r>
    </w:p>
    <w:p w:rsidR="00B6743E" w:rsidRPr="00A123A1" w:rsidRDefault="00B6743E" w:rsidP="0021392B">
      <w:pPr>
        <w:pStyle w:val="ListParagraph"/>
        <w:numPr>
          <w:ilvl w:val="0"/>
          <w:numId w:val="22"/>
        </w:numPr>
        <w:ind w:left="-284" w:firstLine="0"/>
        <w:rPr>
          <w:szCs w:val="24"/>
        </w:rPr>
      </w:pPr>
      <w:r w:rsidRPr="00A123A1">
        <w:rPr>
          <w:szCs w:val="24"/>
        </w:rPr>
        <w:t>Извършване на текущи замери и определяне ефективността на стационарния аноден заземител</w:t>
      </w:r>
      <w:r w:rsidR="00017201">
        <w:rPr>
          <w:szCs w:val="24"/>
        </w:rPr>
        <w:t xml:space="preserve"> и защитно заземление</w:t>
      </w:r>
      <w:r w:rsidRPr="00A123A1">
        <w:rPr>
          <w:szCs w:val="24"/>
        </w:rPr>
        <w:t>;</w:t>
      </w:r>
    </w:p>
    <w:p w:rsidR="00B6743E" w:rsidRPr="00A123A1" w:rsidRDefault="00B6743E" w:rsidP="008C32FA">
      <w:pPr>
        <w:pStyle w:val="ListParagraph"/>
        <w:numPr>
          <w:ilvl w:val="0"/>
          <w:numId w:val="22"/>
        </w:numPr>
        <w:ind w:left="-284" w:firstLine="0"/>
        <w:rPr>
          <w:szCs w:val="24"/>
        </w:rPr>
      </w:pPr>
      <w:r w:rsidRPr="00A123A1">
        <w:rPr>
          <w:szCs w:val="24"/>
        </w:rPr>
        <w:t>Проверка функционалността на КИК, с особено внимание в зоните на преходите, средните точки за КС и пресечните точки със съседна инженерна инфраструктура;</w:t>
      </w:r>
    </w:p>
    <w:p w:rsidR="00B6743E" w:rsidRPr="00A123A1" w:rsidRDefault="00B6743E" w:rsidP="008C32FA">
      <w:pPr>
        <w:pStyle w:val="ListParagraph"/>
        <w:numPr>
          <w:ilvl w:val="0"/>
          <w:numId w:val="22"/>
        </w:numPr>
        <w:ind w:left="-284" w:firstLine="0"/>
        <w:rPr>
          <w:szCs w:val="24"/>
        </w:rPr>
      </w:pPr>
      <w:r w:rsidRPr="00A123A1">
        <w:rPr>
          <w:szCs w:val="24"/>
        </w:rPr>
        <w:t>Изготвяне на месечен доклад за състоянието на системата за ЕХЗ;</w:t>
      </w:r>
    </w:p>
    <w:p w:rsidR="00B6743E" w:rsidRPr="00A123A1" w:rsidRDefault="00B6743E" w:rsidP="008C32FA">
      <w:pPr>
        <w:pStyle w:val="ListParagraph"/>
        <w:numPr>
          <w:ilvl w:val="0"/>
          <w:numId w:val="22"/>
        </w:numPr>
        <w:ind w:left="-284" w:firstLine="0"/>
        <w:rPr>
          <w:szCs w:val="24"/>
        </w:rPr>
      </w:pPr>
      <w:r w:rsidRPr="00A123A1">
        <w:rPr>
          <w:szCs w:val="24"/>
        </w:rPr>
        <w:t>Два пъти в годината в сух и влажен период, изготвяне на потенциална карта на цялото трасе;</w:t>
      </w:r>
    </w:p>
    <w:p w:rsidR="00B6743E" w:rsidRPr="00A123A1" w:rsidRDefault="00B6743E" w:rsidP="008C32FA">
      <w:pPr>
        <w:pStyle w:val="ListParagraph"/>
        <w:numPr>
          <w:ilvl w:val="0"/>
          <w:numId w:val="22"/>
        </w:numPr>
        <w:ind w:left="-284" w:firstLine="0"/>
        <w:rPr>
          <w:szCs w:val="24"/>
        </w:rPr>
      </w:pPr>
      <w:r w:rsidRPr="00A123A1">
        <w:rPr>
          <w:szCs w:val="24"/>
        </w:rPr>
        <w:t>Представяне на годишен доклад за работата на системата за ЕХЗ, анализ на направените измервания през изтеклата година, посочване на потенциално рисковите участъци и предложения за отстраняване на възникналите проблеми;</w:t>
      </w:r>
    </w:p>
    <w:p w:rsidR="00962245" w:rsidRPr="00A123A1" w:rsidRDefault="00962245" w:rsidP="001457A6">
      <w:pPr>
        <w:ind w:left="142" w:hanging="284"/>
        <w:rPr>
          <w:szCs w:val="24"/>
        </w:rPr>
      </w:pPr>
    </w:p>
    <w:p w:rsidR="00962245" w:rsidRPr="00A123A1" w:rsidRDefault="00962245" w:rsidP="001457A6">
      <w:pPr>
        <w:pStyle w:val="ListParagraph"/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ind w:left="-142" w:hanging="284"/>
        <w:rPr>
          <w:b/>
          <w:szCs w:val="24"/>
        </w:rPr>
      </w:pPr>
      <w:r w:rsidRPr="00A123A1">
        <w:rPr>
          <w:b/>
          <w:szCs w:val="24"/>
        </w:rPr>
        <w:t>При необходимост:</w:t>
      </w:r>
    </w:p>
    <w:p w:rsidR="00962245" w:rsidRPr="00A123A1" w:rsidRDefault="00962245" w:rsidP="001457A6">
      <w:pPr>
        <w:widowControl w:val="0"/>
        <w:suppressAutoHyphens/>
        <w:autoSpaceDE w:val="0"/>
        <w:autoSpaceDN w:val="0"/>
        <w:adjustRightInd w:val="0"/>
        <w:ind w:left="-142"/>
        <w:rPr>
          <w:b/>
          <w:szCs w:val="24"/>
        </w:rPr>
      </w:pPr>
    </w:p>
    <w:p w:rsidR="00962245" w:rsidRPr="00A123A1" w:rsidRDefault="00962245" w:rsidP="0021392B">
      <w:pPr>
        <w:pStyle w:val="ListParagraph"/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ind w:left="-284" w:firstLine="0"/>
        <w:rPr>
          <w:b/>
          <w:szCs w:val="24"/>
        </w:rPr>
      </w:pPr>
      <w:r w:rsidRPr="00A123A1">
        <w:rPr>
          <w:szCs w:val="24"/>
        </w:rPr>
        <w:t xml:space="preserve">Ремонт и възстановяване на анодни полета при доказана необходимост и последващо съгласуване от </w:t>
      </w:r>
      <w:r w:rsidR="001552A5">
        <w:rPr>
          <w:szCs w:val="24"/>
        </w:rPr>
        <w:t>,,</w:t>
      </w:r>
      <w:r w:rsidRPr="00A123A1">
        <w:rPr>
          <w:szCs w:val="24"/>
        </w:rPr>
        <w:t>Лукойл България</w:t>
      </w:r>
      <w:r w:rsidR="001552A5">
        <w:rPr>
          <w:szCs w:val="24"/>
        </w:rPr>
        <w:t>“</w:t>
      </w:r>
      <w:r w:rsidRPr="00A123A1">
        <w:rPr>
          <w:szCs w:val="24"/>
        </w:rPr>
        <w:t xml:space="preserve"> Е</w:t>
      </w:r>
      <w:r w:rsidR="00A123A1">
        <w:rPr>
          <w:szCs w:val="24"/>
        </w:rPr>
        <w:t>ООД на предоставена количествен</w:t>
      </w:r>
      <w:r w:rsidRPr="00A123A1">
        <w:rPr>
          <w:szCs w:val="24"/>
        </w:rPr>
        <w:t>о-стойностна сметка;</w:t>
      </w:r>
    </w:p>
    <w:p w:rsidR="00AF1545" w:rsidRPr="00A123A1" w:rsidRDefault="00AF1545" w:rsidP="009D7DB8">
      <w:pPr>
        <w:ind w:left="360"/>
        <w:rPr>
          <w:b/>
          <w:szCs w:val="24"/>
        </w:rPr>
      </w:pPr>
    </w:p>
    <w:p w:rsidR="003F48FC" w:rsidRPr="00A123A1" w:rsidRDefault="00C10987" w:rsidP="001457A6">
      <w:pPr>
        <w:pStyle w:val="ListParagraph"/>
        <w:numPr>
          <w:ilvl w:val="0"/>
          <w:numId w:val="13"/>
        </w:numPr>
        <w:ind w:left="-142" w:hanging="284"/>
        <w:rPr>
          <w:b/>
          <w:color w:val="000000" w:themeColor="text1"/>
          <w:szCs w:val="24"/>
        </w:rPr>
      </w:pPr>
      <w:r w:rsidRPr="00A123A1">
        <w:rPr>
          <w:b/>
          <w:szCs w:val="24"/>
        </w:rPr>
        <w:t xml:space="preserve">Кандидатът </w:t>
      </w:r>
      <w:r w:rsidR="00C00B75" w:rsidRPr="00A123A1">
        <w:rPr>
          <w:b/>
          <w:szCs w:val="24"/>
        </w:rPr>
        <w:t>трябва да е в състояние да извършва със собствен персонал и техни</w:t>
      </w:r>
      <w:r w:rsidR="008A4218" w:rsidRPr="00A123A1">
        <w:rPr>
          <w:b/>
          <w:szCs w:val="24"/>
        </w:rPr>
        <w:t xml:space="preserve">чески </w:t>
      </w:r>
      <w:r w:rsidR="008A4218" w:rsidRPr="00A123A1">
        <w:rPr>
          <w:b/>
          <w:color w:val="000000" w:themeColor="text1"/>
          <w:szCs w:val="24"/>
        </w:rPr>
        <w:t xml:space="preserve">средства </w:t>
      </w:r>
      <w:r w:rsidR="009016E3" w:rsidRPr="00A123A1">
        <w:rPr>
          <w:b/>
          <w:color w:val="000000" w:themeColor="text1"/>
          <w:szCs w:val="24"/>
        </w:rPr>
        <w:t xml:space="preserve">описаните </w:t>
      </w:r>
      <w:r w:rsidR="007B74B4" w:rsidRPr="00A123A1">
        <w:rPr>
          <w:b/>
          <w:color w:val="000000" w:themeColor="text1"/>
          <w:szCs w:val="24"/>
        </w:rPr>
        <w:t xml:space="preserve">дейности </w:t>
      </w:r>
      <w:r w:rsidR="009016E3" w:rsidRPr="00A123A1">
        <w:rPr>
          <w:b/>
          <w:color w:val="000000" w:themeColor="text1"/>
          <w:szCs w:val="24"/>
        </w:rPr>
        <w:t xml:space="preserve">в техническото задание. </w:t>
      </w:r>
    </w:p>
    <w:p w:rsidR="00962245" w:rsidRPr="00A123A1" w:rsidRDefault="00962245" w:rsidP="00962245">
      <w:pPr>
        <w:ind w:left="546"/>
        <w:rPr>
          <w:b/>
          <w:color w:val="000000" w:themeColor="text1"/>
          <w:szCs w:val="24"/>
        </w:rPr>
      </w:pPr>
    </w:p>
    <w:p w:rsidR="004D13A5" w:rsidRPr="00A123A1" w:rsidRDefault="00B45092" w:rsidP="0084383B">
      <w:pPr>
        <w:ind w:hanging="142"/>
        <w:rPr>
          <w:b/>
          <w:color w:val="000000" w:themeColor="text1"/>
          <w:szCs w:val="24"/>
        </w:rPr>
      </w:pPr>
      <w:r w:rsidRPr="00A123A1">
        <w:rPr>
          <w:b/>
          <w:color w:val="000000" w:themeColor="text1"/>
          <w:szCs w:val="24"/>
        </w:rPr>
        <w:t>Срок</w:t>
      </w:r>
      <w:r w:rsidR="001552A5">
        <w:rPr>
          <w:b/>
          <w:color w:val="000000" w:themeColor="text1"/>
          <w:szCs w:val="24"/>
        </w:rPr>
        <w:t xml:space="preserve"> за изпълнение предмета на договора</w:t>
      </w:r>
      <w:r w:rsidRPr="00A123A1">
        <w:rPr>
          <w:b/>
          <w:color w:val="000000" w:themeColor="text1"/>
          <w:szCs w:val="24"/>
        </w:rPr>
        <w:t xml:space="preserve"> – </w:t>
      </w:r>
      <w:r w:rsidR="001552A5">
        <w:rPr>
          <w:b/>
          <w:color w:val="000000" w:themeColor="text1"/>
          <w:szCs w:val="24"/>
        </w:rPr>
        <w:t xml:space="preserve">до </w:t>
      </w:r>
      <w:r w:rsidR="000937C1" w:rsidRPr="00A123A1">
        <w:rPr>
          <w:b/>
          <w:color w:val="000000" w:themeColor="text1"/>
          <w:szCs w:val="24"/>
        </w:rPr>
        <w:t>01</w:t>
      </w:r>
      <w:r w:rsidR="009016E3" w:rsidRPr="00A123A1">
        <w:rPr>
          <w:b/>
          <w:color w:val="000000" w:themeColor="text1"/>
          <w:szCs w:val="24"/>
        </w:rPr>
        <w:t>.1</w:t>
      </w:r>
      <w:r w:rsidR="000937C1" w:rsidRPr="00A123A1">
        <w:rPr>
          <w:b/>
          <w:color w:val="000000" w:themeColor="text1"/>
          <w:szCs w:val="24"/>
        </w:rPr>
        <w:t>1</w:t>
      </w:r>
      <w:r w:rsidR="009016E3" w:rsidRPr="00A123A1">
        <w:rPr>
          <w:b/>
          <w:color w:val="000000" w:themeColor="text1"/>
          <w:szCs w:val="24"/>
        </w:rPr>
        <w:t>.20</w:t>
      </w:r>
      <w:r w:rsidR="00AB291A" w:rsidRPr="00A123A1">
        <w:rPr>
          <w:b/>
          <w:color w:val="000000" w:themeColor="text1"/>
          <w:szCs w:val="24"/>
        </w:rPr>
        <w:t>2</w:t>
      </w:r>
      <w:r w:rsidR="007F1BFF">
        <w:rPr>
          <w:b/>
          <w:color w:val="000000" w:themeColor="text1"/>
          <w:szCs w:val="24"/>
        </w:rPr>
        <w:t>6</w:t>
      </w:r>
      <w:r w:rsidR="009016E3" w:rsidRPr="00A123A1">
        <w:rPr>
          <w:b/>
          <w:color w:val="000000" w:themeColor="text1"/>
          <w:szCs w:val="24"/>
        </w:rPr>
        <w:t>г.</w:t>
      </w:r>
    </w:p>
    <w:p w:rsidR="004D13A5" w:rsidRPr="00A123A1" w:rsidRDefault="004D13A5" w:rsidP="004D13A5">
      <w:pPr>
        <w:rPr>
          <w:b/>
          <w:color w:val="000000" w:themeColor="text1"/>
          <w:szCs w:val="24"/>
        </w:rPr>
      </w:pPr>
    </w:p>
    <w:p w:rsidR="003F48FC" w:rsidRPr="00A123A1" w:rsidRDefault="003F48FC" w:rsidP="001457A6">
      <w:pPr>
        <w:pStyle w:val="ListParagraph"/>
        <w:numPr>
          <w:ilvl w:val="0"/>
          <w:numId w:val="13"/>
        </w:numPr>
        <w:ind w:left="-142" w:hanging="284"/>
        <w:rPr>
          <w:b/>
          <w:color w:val="000000" w:themeColor="text1"/>
          <w:szCs w:val="24"/>
        </w:rPr>
      </w:pPr>
      <w:r w:rsidRPr="00A123A1">
        <w:rPr>
          <w:b/>
          <w:color w:val="000000" w:themeColor="text1"/>
          <w:szCs w:val="24"/>
        </w:rPr>
        <w:t>Условия за изпълнение предмета на търга</w:t>
      </w:r>
      <w:r w:rsidR="00A123A1">
        <w:rPr>
          <w:b/>
          <w:color w:val="000000" w:themeColor="text1"/>
          <w:szCs w:val="24"/>
        </w:rPr>
        <w:t>:</w:t>
      </w:r>
    </w:p>
    <w:p w:rsidR="00962245" w:rsidRPr="00A123A1" w:rsidRDefault="00962245" w:rsidP="00962245">
      <w:pPr>
        <w:pStyle w:val="ListParagraph"/>
        <w:ind w:left="906"/>
        <w:rPr>
          <w:b/>
          <w:color w:val="000000" w:themeColor="text1"/>
          <w:szCs w:val="24"/>
        </w:rPr>
      </w:pPr>
    </w:p>
    <w:p w:rsidR="00233EB0" w:rsidRDefault="00233EB0" w:rsidP="0021392B">
      <w:pPr>
        <w:pStyle w:val="ListParagraph"/>
        <w:ind w:left="-284" w:firstLine="284"/>
        <w:rPr>
          <w:szCs w:val="24"/>
        </w:rPr>
      </w:pPr>
      <w:r w:rsidRPr="00A123A1">
        <w:rPr>
          <w:color w:val="000000" w:themeColor="text1"/>
          <w:szCs w:val="24"/>
        </w:rPr>
        <w:t>Кандидатите в тръжната процедура следва да извършват</w:t>
      </w:r>
      <w:r w:rsidRPr="00A123A1">
        <w:rPr>
          <w:b/>
          <w:bCs/>
          <w:color w:val="000000" w:themeColor="text1"/>
          <w:szCs w:val="24"/>
        </w:rPr>
        <w:t xml:space="preserve"> </w:t>
      </w:r>
      <w:r w:rsidRPr="00A123A1">
        <w:rPr>
          <w:bCs/>
          <w:color w:val="000000" w:themeColor="text1"/>
          <w:szCs w:val="24"/>
        </w:rPr>
        <w:t>възложените работи по предмета на търга</w:t>
      </w:r>
      <w:r w:rsidRPr="00A123A1">
        <w:rPr>
          <w:color w:val="000000" w:themeColor="text1"/>
          <w:szCs w:val="24"/>
        </w:rPr>
        <w:t xml:space="preserve"> </w:t>
      </w:r>
      <w:r w:rsidRPr="00A123A1">
        <w:rPr>
          <w:szCs w:val="24"/>
        </w:rPr>
        <w:t>със свои средства, работна ръка и технически изправна механизация, отговаряща на противопожарните изисквания.</w:t>
      </w:r>
    </w:p>
    <w:p w:rsidR="001552A5" w:rsidRPr="001552A5" w:rsidRDefault="001552A5" w:rsidP="0021392B">
      <w:pPr>
        <w:pStyle w:val="ListParagraph"/>
        <w:ind w:left="-284" w:firstLine="284"/>
        <w:rPr>
          <w:szCs w:val="24"/>
        </w:rPr>
      </w:pPr>
      <w:r>
        <w:t>Да се предостави и</w:t>
      </w:r>
      <w:r w:rsidRPr="001552A5">
        <w:t>нформация за подизпълнителите, които ще бъдат използвани при изпълнение на дейностите, предмет на търга и доказателства за съответствието им с общите и специфични изисквания на тръжния конкурс</w:t>
      </w:r>
    </w:p>
    <w:p w:rsidR="00962245" w:rsidRPr="00A123A1" w:rsidRDefault="00962245" w:rsidP="00233EB0">
      <w:pPr>
        <w:pStyle w:val="ListParagraph"/>
        <w:rPr>
          <w:color w:val="FF0000"/>
          <w:szCs w:val="24"/>
        </w:rPr>
      </w:pPr>
    </w:p>
    <w:p w:rsidR="008F62BD" w:rsidRPr="00A123A1" w:rsidRDefault="008F62BD" w:rsidP="001457A6">
      <w:pPr>
        <w:pStyle w:val="ListParagraph"/>
        <w:numPr>
          <w:ilvl w:val="0"/>
          <w:numId w:val="13"/>
        </w:numPr>
        <w:ind w:left="-284" w:hanging="142"/>
        <w:rPr>
          <w:b/>
          <w:szCs w:val="24"/>
        </w:rPr>
      </w:pPr>
      <w:r w:rsidRPr="00A123A1">
        <w:rPr>
          <w:b/>
          <w:szCs w:val="24"/>
        </w:rPr>
        <w:t>Информация за Възложителя</w:t>
      </w:r>
      <w:r w:rsidR="00A123A1">
        <w:rPr>
          <w:b/>
          <w:szCs w:val="24"/>
        </w:rPr>
        <w:t>:</w:t>
      </w:r>
    </w:p>
    <w:p w:rsidR="00962245" w:rsidRPr="00A123A1" w:rsidRDefault="00962245" w:rsidP="00962245">
      <w:pPr>
        <w:pStyle w:val="ListParagraph"/>
        <w:ind w:left="906"/>
        <w:rPr>
          <w:b/>
          <w:szCs w:val="24"/>
        </w:rPr>
      </w:pPr>
    </w:p>
    <w:p w:rsidR="00E9425C" w:rsidRPr="00A123A1" w:rsidRDefault="00E9425C" w:rsidP="0021392B">
      <w:pPr>
        <w:pStyle w:val="ListParagraph"/>
        <w:ind w:left="-284" w:firstLine="284"/>
        <w:rPr>
          <w:szCs w:val="24"/>
        </w:rPr>
      </w:pPr>
      <w:r w:rsidRPr="00BE09E2">
        <w:rPr>
          <w:szCs w:val="24"/>
        </w:rPr>
        <w:t>Възложител – „ЛУКОЙЛ</w:t>
      </w:r>
      <w:r w:rsidR="00BE09E2" w:rsidRPr="00BE09E2">
        <w:rPr>
          <w:szCs w:val="24"/>
        </w:rPr>
        <w:t xml:space="preserve"> България” ЕООД, гр. София, 1404</w:t>
      </w:r>
      <w:r w:rsidRPr="00BE09E2">
        <w:rPr>
          <w:szCs w:val="24"/>
        </w:rPr>
        <w:t>, бул. „</w:t>
      </w:r>
      <w:r w:rsidR="00BE09E2" w:rsidRPr="00BE09E2">
        <w:rPr>
          <w:szCs w:val="24"/>
        </w:rPr>
        <w:t>България</w:t>
      </w:r>
      <w:r w:rsidRPr="00BE09E2">
        <w:rPr>
          <w:szCs w:val="24"/>
        </w:rPr>
        <w:t xml:space="preserve">” № </w:t>
      </w:r>
      <w:r w:rsidR="00BE09E2" w:rsidRPr="00BE09E2">
        <w:rPr>
          <w:szCs w:val="24"/>
        </w:rPr>
        <w:t xml:space="preserve">69, Офис кула </w:t>
      </w:r>
      <w:proofErr w:type="spellStart"/>
      <w:r w:rsidR="00BE09E2" w:rsidRPr="00BE09E2">
        <w:rPr>
          <w:szCs w:val="24"/>
        </w:rPr>
        <w:t>Инфинити</w:t>
      </w:r>
      <w:proofErr w:type="spellEnd"/>
      <w:r w:rsidR="00BE09E2" w:rsidRPr="00BE09E2">
        <w:rPr>
          <w:szCs w:val="24"/>
        </w:rPr>
        <w:t xml:space="preserve"> Тауър, ет. 17</w:t>
      </w:r>
      <w:r w:rsidRPr="00BE09E2">
        <w:rPr>
          <w:szCs w:val="24"/>
        </w:rPr>
        <w:t>, ЕИК 121699202, тел. 02/91742</w:t>
      </w:r>
      <w:r w:rsidR="001E0C76" w:rsidRPr="00BE09E2">
        <w:rPr>
          <w:szCs w:val="24"/>
        </w:rPr>
        <w:t>83</w:t>
      </w:r>
      <w:r w:rsidR="00962245" w:rsidRPr="00BE09E2">
        <w:rPr>
          <w:szCs w:val="24"/>
        </w:rPr>
        <w:t>.</w:t>
      </w:r>
    </w:p>
    <w:p w:rsidR="00962245" w:rsidRPr="00A123A1" w:rsidRDefault="00962245" w:rsidP="001E0C76">
      <w:pPr>
        <w:pStyle w:val="ListParagraph"/>
        <w:ind w:left="709"/>
        <w:rPr>
          <w:b/>
          <w:szCs w:val="24"/>
        </w:rPr>
      </w:pPr>
    </w:p>
    <w:p w:rsidR="00A17093" w:rsidRPr="00A123A1" w:rsidRDefault="001E2628" w:rsidP="001457A6">
      <w:pPr>
        <w:pStyle w:val="ListParagraph"/>
        <w:numPr>
          <w:ilvl w:val="0"/>
          <w:numId w:val="13"/>
        </w:numPr>
        <w:ind w:left="-142" w:hanging="284"/>
        <w:rPr>
          <w:b/>
          <w:szCs w:val="24"/>
        </w:rPr>
      </w:pPr>
      <w:r w:rsidRPr="00A123A1">
        <w:rPr>
          <w:b/>
          <w:szCs w:val="24"/>
        </w:rPr>
        <w:lastRenderedPageBreak/>
        <w:t>Ограничителни условия</w:t>
      </w:r>
      <w:r w:rsidR="00A123A1">
        <w:rPr>
          <w:b/>
          <w:szCs w:val="24"/>
        </w:rPr>
        <w:t>:</w:t>
      </w:r>
    </w:p>
    <w:p w:rsidR="00962245" w:rsidRPr="00A123A1" w:rsidRDefault="00962245" w:rsidP="00962245">
      <w:pPr>
        <w:pStyle w:val="ListParagraph"/>
        <w:ind w:left="906"/>
        <w:rPr>
          <w:b/>
          <w:szCs w:val="24"/>
        </w:rPr>
      </w:pPr>
    </w:p>
    <w:p w:rsidR="00EB37FC" w:rsidRPr="00A123A1" w:rsidRDefault="00A17093" w:rsidP="0021392B">
      <w:pPr>
        <w:pStyle w:val="ListParagraph"/>
        <w:ind w:left="-284" w:firstLine="284"/>
        <w:rPr>
          <w:szCs w:val="24"/>
        </w:rPr>
      </w:pPr>
      <w:r w:rsidRPr="00A123A1">
        <w:rPr>
          <w:szCs w:val="24"/>
        </w:rPr>
        <w:t>Участниците в тръжната процедура трябва да са юридически лица, регистрирани по ЗДДС</w:t>
      </w:r>
      <w:r w:rsidR="00D05F61" w:rsidRPr="00A123A1">
        <w:rPr>
          <w:szCs w:val="24"/>
        </w:rPr>
        <w:t>.</w:t>
      </w:r>
    </w:p>
    <w:p w:rsidR="00D05F61" w:rsidRPr="00A123A1" w:rsidRDefault="00EB37FC" w:rsidP="0021392B">
      <w:pPr>
        <w:ind w:left="-284" w:firstLine="284"/>
        <w:jc w:val="left"/>
        <w:rPr>
          <w:szCs w:val="24"/>
        </w:rPr>
      </w:pPr>
      <w:r w:rsidRPr="00A123A1">
        <w:rPr>
          <w:szCs w:val="24"/>
        </w:rPr>
        <w:t>Изпълнителят следва с предоставени референции да потвърди възможностите си за извършване на исканата услуга с необходимото качество</w:t>
      </w:r>
    </w:p>
    <w:p w:rsidR="00DD3E84" w:rsidRPr="00A123A1" w:rsidRDefault="00DD3E84" w:rsidP="0084383B">
      <w:pPr>
        <w:ind w:left="-142" w:firstLine="142"/>
        <w:jc w:val="left"/>
        <w:rPr>
          <w:b/>
          <w:szCs w:val="24"/>
        </w:rPr>
      </w:pPr>
    </w:p>
    <w:p w:rsidR="001E2628" w:rsidRPr="00A123A1" w:rsidRDefault="001E2628" w:rsidP="0084383B">
      <w:pPr>
        <w:pStyle w:val="ListParagraph"/>
        <w:numPr>
          <w:ilvl w:val="0"/>
          <w:numId w:val="13"/>
        </w:numPr>
        <w:ind w:left="-85" w:hanging="341"/>
        <w:rPr>
          <w:b/>
          <w:szCs w:val="24"/>
        </w:rPr>
      </w:pPr>
      <w:r w:rsidRPr="00A123A1">
        <w:rPr>
          <w:b/>
          <w:szCs w:val="24"/>
        </w:rPr>
        <w:t>Начин и условия за посещения на място</w:t>
      </w:r>
      <w:r w:rsidR="00A123A1">
        <w:rPr>
          <w:b/>
          <w:szCs w:val="24"/>
        </w:rPr>
        <w:t>:</w:t>
      </w:r>
    </w:p>
    <w:p w:rsidR="00962245" w:rsidRPr="00A123A1" w:rsidRDefault="00962245" w:rsidP="00962245">
      <w:pPr>
        <w:pStyle w:val="ListParagraph"/>
        <w:ind w:left="906"/>
        <w:rPr>
          <w:b/>
          <w:szCs w:val="24"/>
        </w:rPr>
      </w:pPr>
    </w:p>
    <w:p w:rsidR="005405D6" w:rsidRPr="0021392B" w:rsidRDefault="000937C1" w:rsidP="0021392B">
      <w:pPr>
        <w:ind w:left="-284" w:firstLine="284"/>
        <w:rPr>
          <w:szCs w:val="24"/>
        </w:rPr>
      </w:pPr>
      <w:r w:rsidRPr="00A123A1">
        <w:rPr>
          <w:szCs w:val="24"/>
        </w:rPr>
        <w:t xml:space="preserve"> </w:t>
      </w:r>
      <w:r w:rsidR="005405D6" w:rsidRPr="00A123A1">
        <w:rPr>
          <w:szCs w:val="24"/>
        </w:rPr>
        <w:t xml:space="preserve">Огледът на </w:t>
      </w:r>
      <w:r w:rsidRPr="00A123A1">
        <w:rPr>
          <w:szCs w:val="24"/>
        </w:rPr>
        <w:t>трасето</w:t>
      </w:r>
      <w:r w:rsidR="005405D6" w:rsidRPr="00A123A1">
        <w:rPr>
          <w:szCs w:val="24"/>
        </w:rPr>
        <w:t xml:space="preserve"> на </w:t>
      </w:r>
      <w:r w:rsidRPr="00A123A1">
        <w:rPr>
          <w:szCs w:val="24"/>
        </w:rPr>
        <w:t>магистрален продуктопровод  Бургас – София</w:t>
      </w:r>
      <w:r w:rsidR="0021392B">
        <w:rPr>
          <w:szCs w:val="24"/>
        </w:rPr>
        <w:t xml:space="preserve"> </w:t>
      </w:r>
      <w:r w:rsidR="005405D6" w:rsidRPr="0021392B">
        <w:rPr>
          <w:szCs w:val="24"/>
        </w:rPr>
        <w:t>за участниците в тръжната процедура</w:t>
      </w:r>
      <w:r w:rsidR="00D60ABF" w:rsidRPr="0021392B">
        <w:rPr>
          <w:szCs w:val="24"/>
        </w:rPr>
        <w:t>,</w:t>
      </w:r>
      <w:r w:rsidR="005405D6" w:rsidRPr="0021392B">
        <w:rPr>
          <w:szCs w:val="24"/>
        </w:rPr>
        <w:t xml:space="preserve"> </w:t>
      </w:r>
      <w:r w:rsidR="00C92119" w:rsidRPr="0021392B">
        <w:rPr>
          <w:szCs w:val="24"/>
        </w:rPr>
        <w:t xml:space="preserve">може да се извърши </w:t>
      </w:r>
      <w:r w:rsidR="005405D6" w:rsidRPr="0021392B">
        <w:rPr>
          <w:szCs w:val="24"/>
        </w:rPr>
        <w:t>сл</w:t>
      </w:r>
      <w:r w:rsidR="007F1BFF">
        <w:rPr>
          <w:szCs w:val="24"/>
        </w:rPr>
        <w:t xml:space="preserve">ед предварително уточнена дата </w:t>
      </w:r>
      <w:r w:rsidR="005405D6" w:rsidRPr="0021392B">
        <w:rPr>
          <w:szCs w:val="24"/>
        </w:rPr>
        <w:t xml:space="preserve">и час на посещение, но не по-късно от крайния срок за подаване на офертите. </w:t>
      </w:r>
    </w:p>
    <w:p w:rsidR="00D25B7F" w:rsidRPr="00A123A1" w:rsidRDefault="005405D6" w:rsidP="0021392B">
      <w:pPr>
        <w:pStyle w:val="ListParagraph"/>
        <w:ind w:left="-284" w:firstLine="284"/>
        <w:rPr>
          <w:szCs w:val="24"/>
          <w:u w:val="single"/>
        </w:rPr>
      </w:pPr>
      <w:r w:rsidRPr="00A123A1">
        <w:rPr>
          <w:szCs w:val="24"/>
        </w:rPr>
        <w:t xml:space="preserve">Уточняването на датите и часовете за посещение и оглед от страна на участниците следва да се извърши предварително в срок от </w:t>
      </w:r>
      <w:r w:rsidRPr="00A123A1">
        <w:rPr>
          <w:szCs w:val="24"/>
          <w:u w:val="single"/>
        </w:rPr>
        <w:t xml:space="preserve">поне два работни дни </w:t>
      </w:r>
      <w:r w:rsidRPr="00A123A1">
        <w:rPr>
          <w:szCs w:val="24"/>
        </w:rPr>
        <w:t>на следни</w:t>
      </w:r>
      <w:r w:rsidR="000937C1" w:rsidRPr="00A123A1">
        <w:rPr>
          <w:szCs w:val="24"/>
        </w:rPr>
        <w:t>я</w:t>
      </w:r>
      <w:r w:rsidR="001A171D">
        <w:rPr>
          <w:szCs w:val="24"/>
        </w:rPr>
        <w:t xml:space="preserve"> </w:t>
      </w:r>
      <w:r w:rsidRPr="00A123A1">
        <w:rPr>
          <w:szCs w:val="24"/>
        </w:rPr>
        <w:t>телефон:</w:t>
      </w:r>
      <w:r w:rsidR="00923CBA" w:rsidRPr="00A123A1">
        <w:rPr>
          <w:szCs w:val="24"/>
        </w:rPr>
        <w:t xml:space="preserve"> </w:t>
      </w:r>
      <w:r w:rsidR="000937C1" w:rsidRPr="00A123A1">
        <w:rPr>
          <w:szCs w:val="24"/>
        </w:rPr>
        <w:t>0887495057</w:t>
      </w:r>
      <w:r w:rsidR="0041331D" w:rsidRPr="00A123A1">
        <w:rPr>
          <w:szCs w:val="24"/>
        </w:rPr>
        <w:t xml:space="preserve"> –</w:t>
      </w:r>
      <w:r w:rsidR="00962245" w:rsidRPr="00A123A1">
        <w:rPr>
          <w:szCs w:val="24"/>
        </w:rPr>
        <w:t xml:space="preserve"> </w:t>
      </w:r>
      <w:r w:rsidR="0041331D" w:rsidRPr="00A123A1">
        <w:rPr>
          <w:szCs w:val="24"/>
        </w:rPr>
        <w:t xml:space="preserve">г-н Станимир </w:t>
      </w:r>
      <w:proofErr w:type="spellStart"/>
      <w:r w:rsidR="0041331D" w:rsidRPr="00A123A1">
        <w:rPr>
          <w:szCs w:val="24"/>
        </w:rPr>
        <w:t>Мешов</w:t>
      </w:r>
      <w:proofErr w:type="spellEnd"/>
      <w:r w:rsidR="00A123A1">
        <w:rPr>
          <w:szCs w:val="24"/>
        </w:rPr>
        <w:t>.</w:t>
      </w:r>
      <w:r w:rsidR="00D25B7F" w:rsidRPr="00A123A1">
        <w:rPr>
          <w:szCs w:val="24"/>
        </w:rPr>
        <w:tab/>
      </w:r>
    </w:p>
    <w:p w:rsidR="00586790" w:rsidRPr="00A123A1" w:rsidRDefault="00586790" w:rsidP="0021392B">
      <w:pPr>
        <w:pStyle w:val="ListParagraph"/>
        <w:ind w:left="-284" w:firstLine="284"/>
        <w:rPr>
          <w:szCs w:val="24"/>
        </w:rPr>
      </w:pPr>
      <w:proofErr w:type="spellStart"/>
      <w:r w:rsidRPr="00A123A1">
        <w:rPr>
          <w:szCs w:val="24"/>
        </w:rPr>
        <w:t>Неизвършването</w:t>
      </w:r>
      <w:proofErr w:type="spellEnd"/>
      <w:r w:rsidRPr="00A123A1">
        <w:rPr>
          <w:szCs w:val="24"/>
        </w:rPr>
        <w:t xml:space="preserve"> на оглед от страна на претендента/кандидата и непозн</w:t>
      </w:r>
      <w:bookmarkStart w:id="0" w:name="_GoBack"/>
      <w:bookmarkEnd w:id="0"/>
      <w:r w:rsidRPr="00A123A1">
        <w:rPr>
          <w:szCs w:val="24"/>
        </w:rPr>
        <w:t xml:space="preserve">аването на условията за изпълнение предмета на търга в отделните обекти не е основание за </w:t>
      </w:r>
      <w:r w:rsidR="00E87ED1" w:rsidRPr="00A123A1">
        <w:rPr>
          <w:szCs w:val="24"/>
        </w:rPr>
        <w:t>искане на</w:t>
      </w:r>
      <w:r w:rsidRPr="00A123A1">
        <w:rPr>
          <w:szCs w:val="24"/>
        </w:rPr>
        <w:t xml:space="preserve"> промяна на ценовите условия при изпълнение на последващи договорни задължения</w:t>
      </w:r>
      <w:r w:rsidR="00E87ED1" w:rsidRPr="00A123A1">
        <w:rPr>
          <w:szCs w:val="24"/>
        </w:rPr>
        <w:t xml:space="preserve"> от негова страна</w:t>
      </w:r>
      <w:r w:rsidRPr="00A123A1">
        <w:rPr>
          <w:szCs w:val="24"/>
        </w:rPr>
        <w:t>.</w:t>
      </w:r>
    </w:p>
    <w:p w:rsidR="00DD3E84" w:rsidRPr="00A123A1" w:rsidRDefault="00DD3E84" w:rsidP="0084383B">
      <w:pPr>
        <w:pStyle w:val="ListParagraph"/>
        <w:ind w:left="-142" w:firstLine="142"/>
        <w:rPr>
          <w:szCs w:val="24"/>
        </w:rPr>
      </w:pPr>
    </w:p>
    <w:p w:rsidR="001E2628" w:rsidRPr="00A123A1" w:rsidRDefault="001E2628" w:rsidP="0084383B">
      <w:pPr>
        <w:pStyle w:val="ListParagraph"/>
        <w:numPr>
          <w:ilvl w:val="0"/>
          <w:numId w:val="13"/>
        </w:numPr>
        <w:ind w:left="-142" w:hanging="284"/>
        <w:rPr>
          <w:b/>
          <w:szCs w:val="24"/>
        </w:rPr>
      </w:pPr>
      <w:r w:rsidRPr="00A123A1">
        <w:rPr>
          <w:b/>
          <w:szCs w:val="24"/>
        </w:rPr>
        <w:t xml:space="preserve">Изисквания към </w:t>
      </w:r>
      <w:r w:rsidR="002B77EA" w:rsidRPr="00A123A1">
        <w:rPr>
          <w:b/>
          <w:szCs w:val="24"/>
        </w:rPr>
        <w:t>претендентите/</w:t>
      </w:r>
      <w:r w:rsidRPr="00A123A1">
        <w:rPr>
          <w:b/>
          <w:szCs w:val="24"/>
        </w:rPr>
        <w:t>кандидатите, които участват в търга</w:t>
      </w:r>
      <w:r w:rsidR="00A123A1">
        <w:rPr>
          <w:b/>
          <w:szCs w:val="24"/>
        </w:rPr>
        <w:t>:</w:t>
      </w:r>
    </w:p>
    <w:p w:rsidR="00962245" w:rsidRPr="00A123A1" w:rsidRDefault="00962245" w:rsidP="00962245">
      <w:pPr>
        <w:pStyle w:val="ListParagraph"/>
        <w:ind w:left="906"/>
        <w:rPr>
          <w:b/>
          <w:szCs w:val="24"/>
        </w:rPr>
      </w:pPr>
    </w:p>
    <w:p w:rsidR="00CE0ADE" w:rsidRPr="00A123A1" w:rsidRDefault="00CE0ADE" w:rsidP="0021392B">
      <w:pPr>
        <w:ind w:left="-284" w:firstLine="284"/>
        <w:rPr>
          <w:b/>
          <w:szCs w:val="24"/>
        </w:rPr>
      </w:pPr>
      <w:r w:rsidRPr="00A123A1">
        <w:rPr>
          <w:szCs w:val="24"/>
        </w:rPr>
        <w:t>Изпълнителят следва с предоставени референции да потвърди възможностите си за извършване на исканата услуга с необходимото качество</w:t>
      </w:r>
      <w:r w:rsidR="00C352CF" w:rsidRPr="00A123A1">
        <w:rPr>
          <w:szCs w:val="24"/>
        </w:rPr>
        <w:t>.</w:t>
      </w:r>
    </w:p>
    <w:p w:rsidR="00233EB0" w:rsidRPr="00A123A1" w:rsidRDefault="00CE0ADE" w:rsidP="0021392B">
      <w:pPr>
        <w:pStyle w:val="ListParagraph"/>
        <w:ind w:left="-284" w:firstLine="284"/>
        <w:rPr>
          <w:b/>
          <w:szCs w:val="24"/>
        </w:rPr>
      </w:pPr>
      <w:r w:rsidRPr="00A123A1">
        <w:rPr>
          <w:szCs w:val="24"/>
        </w:rPr>
        <w:t>При посещения по обектите и при осъществяване на контактите следва да се спазват вътрешно фирмените изисквания за конфиденци</w:t>
      </w:r>
      <w:r w:rsidR="00CB668F" w:rsidRPr="00A123A1">
        <w:rPr>
          <w:szCs w:val="24"/>
        </w:rPr>
        <w:t>а</w:t>
      </w:r>
      <w:r w:rsidRPr="00A123A1">
        <w:rPr>
          <w:szCs w:val="24"/>
        </w:rPr>
        <w:t>лност и фирмена сигурност</w:t>
      </w:r>
      <w:r w:rsidR="00C352CF" w:rsidRPr="00A123A1">
        <w:rPr>
          <w:szCs w:val="24"/>
        </w:rPr>
        <w:t>.</w:t>
      </w:r>
    </w:p>
    <w:sectPr w:rsidR="00233EB0" w:rsidRPr="00A123A1" w:rsidSect="003459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84" w:rsidRDefault="004F3F84" w:rsidP="00073AD0">
      <w:r>
        <w:separator/>
      </w:r>
    </w:p>
  </w:endnote>
  <w:endnote w:type="continuationSeparator" w:id="0">
    <w:p w:rsidR="004F3F84" w:rsidRDefault="004F3F84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384F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7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84" w:rsidRDefault="004F3F84" w:rsidP="00073AD0">
      <w:r>
        <w:separator/>
      </w:r>
    </w:p>
  </w:footnote>
  <w:footnote w:type="continuationSeparator" w:id="0">
    <w:p w:rsidR="004F3F84" w:rsidRDefault="004F3F84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4E78"/>
    <w:multiLevelType w:val="hybridMultilevel"/>
    <w:tmpl w:val="23E44A04"/>
    <w:lvl w:ilvl="0" w:tplc="0419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10E0198A"/>
    <w:multiLevelType w:val="hybridMultilevel"/>
    <w:tmpl w:val="5470B21E"/>
    <w:lvl w:ilvl="0" w:tplc="C4D48276">
      <w:numFmt w:val="bullet"/>
      <w:lvlText w:val="•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2672713"/>
    <w:multiLevelType w:val="hybridMultilevel"/>
    <w:tmpl w:val="7596563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6" w15:restartNumberingAfterBreak="0">
    <w:nsid w:val="22C921CA"/>
    <w:multiLevelType w:val="hybridMultilevel"/>
    <w:tmpl w:val="4C7479C6"/>
    <w:lvl w:ilvl="0" w:tplc="F12005DA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75E6B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109745B"/>
    <w:multiLevelType w:val="hybridMultilevel"/>
    <w:tmpl w:val="5B44C3BC"/>
    <w:lvl w:ilvl="0" w:tplc="ACD85536">
      <w:start w:val="6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416D2CC3"/>
    <w:multiLevelType w:val="hybridMultilevel"/>
    <w:tmpl w:val="E61447F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803679A"/>
    <w:multiLevelType w:val="hybridMultilevel"/>
    <w:tmpl w:val="41BEA01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9230E16A">
      <w:numFmt w:val="bullet"/>
      <w:lvlText w:val="•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48F77F5E"/>
    <w:multiLevelType w:val="hybridMultilevel"/>
    <w:tmpl w:val="A2F06DF0"/>
    <w:lvl w:ilvl="0" w:tplc="1D6E8BC4">
      <w:start w:val="1"/>
      <w:numFmt w:val="decimal"/>
      <w:lvlText w:val="1.2.2.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27A8F"/>
    <w:multiLevelType w:val="multilevel"/>
    <w:tmpl w:val="6DF49B02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0" w:hanging="1800"/>
      </w:pPr>
      <w:rPr>
        <w:rFonts w:hint="default"/>
      </w:rPr>
    </w:lvl>
  </w:abstractNum>
  <w:abstractNum w:abstractNumId="13" w15:restartNumberingAfterBreak="0">
    <w:nsid w:val="50534408"/>
    <w:multiLevelType w:val="hybridMultilevel"/>
    <w:tmpl w:val="042C89F6"/>
    <w:lvl w:ilvl="0" w:tplc="83EA3964">
      <w:numFmt w:val="bullet"/>
      <w:lvlText w:val="•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4" w15:restartNumberingAfterBreak="0">
    <w:nsid w:val="551669A7"/>
    <w:multiLevelType w:val="hybridMultilevel"/>
    <w:tmpl w:val="BC50C8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D46F6"/>
    <w:multiLevelType w:val="hybridMultilevel"/>
    <w:tmpl w:val="200CDA50"/>
    <w:lvl w:ilvl="0" w:tplc="F2426AA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3B2166"/>
    <w:multiLevelType w:val="hybridMultilevel"/>
    <w:tmpl w:val="E9AE7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7"/>
  </w:num>
  <w:num w:numId="5">
    <w:abstractNumId w:val="3"/>
  </w:num>
  <w:num w:numId="6">
    <w:abstractNumId w:val="17"/>
  </w:num>
  <w:num w:numId="7">
    <w:abstractNumId w:val="15"/>
  </w:num>
  <w:num w:numId="8">
    <w:abstractNumId w:val="16"/>
  </w:num>
  <w:num w:numId="9">
    <w:abstractNumId w:val="4"/>
  </w:num>
  <w:num w:numId="10">
    <w:abstractNumId w:val="5"/>
  </w:num>
  <w:num w:numId="11">
    <w:abstractNumId w:val="6"/>
  </w:num>
  <w:num w:numId="12">
    <w:abstractNumId w:val="8"/>
  </w:num>
  <w:num w:numId="13">
    <w:abstractNumId w:val="12"/>
  </w:num>
  <w:num w:numId="14">
    <w:abstractNumId w:val="18"/>
  </w:num>
  <w:num w:numId="15">
    <w:abstractNumId w:val="11"/>
  </w:num>
  <w:num w:numId="16">
    <w:abstractNumId w:val="19"/>
  </w:num>
  <w:num w:numId="17">
    <w:abstractNumId w:val="14"/>
  </w:num>
  <w:num w:numId="18">
    <w:abstractNumId w:val="9"/>
  </w:num>
  <w:num w:numId="19">
    <w:abstractNumId w:val="0"/>
  </w:num>
  <w:num w:numId="20">
    <w:abstractNumId w:val="2"/>
  </w:num>
  <w:num w:numId="21">
    <w:abstractNumId w:val="1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03D"/>
    <w:rsid w:val="000007E4"/>
    <w:rsid w:val="0001493B"/>
    <w:rsid w:val="00017201"/>
    <w:rsid w:val="000232C1"/>
    <w:rsid w:val="0002332F"/>
    <w:rsid w:val="00027F8B"/>
    <w:rsid w:val="00050B71"/>
    <w:rsid w:val="00073AD0"/>
    <w:rsid w:val="00080CC2"/>
    <w:rsid w:val="000937C1"/>
    <w:rsid w:val="000B5BFD"/>
    <w:rsid w:val="000C57BC"/>
    <w:rsid w:val="00106E15"/>
    <w:rsid w:val="00122354"/>
    <w:rsid w:val="00145761"/>
    <w:rsid w:val="001457A6"/>
    <w:rsid w:val="001552A5"/>
    <w:rsid w:val="00171EA7"/>
    <w:rsid w:val="00173B0B"/>
    <w:rsid w:val="00176ABA"/>
    <w:rsid w:val="00184A28"/>
    <w:rsid w:val="001A171D"/>
    <w:rsid w:val="001A35F2"/>
    <w:rsid w:val="001A7DF2"/>
    <w:rsid w:val="001E0C76"/>
    <w:rsid w:val="001E2628"/>
    <w:rsid w:val="001F3F5B"/>
    <w:rsid w:val="0021392B"/>
    <w:rsid w:val="00233EB0"/>
    <w:rsid w:val="00256056"/>
    <w:rsid w:val="00257EDF"/>
    <w:rsid w:val="00270EA4"/>
    <w:rsid w:val="002926C7"/>
    <w:rsid w:val="002A0C5B"/>
    <w:rsid w:val="002A51B2"/>
    <w:rsid w:val="002B77EA"/>
    <w:rsid w:val="002C5E1A"/>
    <w:rsid w:val="002D462E"/>
    <w:rsid w:val="00317372"/>
    <w:rsid w:val="00317E38"/>
    <w:rsid w:val="00341373"/>
    <w:rsid w:val="00345937"/>
    <w:rsid w:val="003568EA"/>
    <w:rsid w:val="00360605"/>
    <w:rsid w:val="00384F3A"/>
    <w:rsid w:val="00396E16"/>
    <w:rsid w:val="003A3DA8"/>
    <w:rsid w:val="003B5692"/>
    <w:rsid w:val="003F0D1E"/>
    <w:rsid w:val="003F48FC"/>
    <w:rsid w:val="00403749"/>
    <w:rsid w:val="004057C5"/>
    <w:rsid w:val="0041331D"/>
    <w:rsid w:val="0042408D"/>
    <w:rsid w:val="004560E3"/>
    <w:rsid w:val="00467D38"/>
    <w:rsid w:val="004B36D6"/>
    <w:rsid w:val="004C289F"/>
    <w:rsid w:val="004D13A5"/>
    <w:rsid w:val="004F3F84"/>
    <w:rsid w:val="005052BA"/>
    <w:rsid w:val="00514658"/>
    <w:rsid w:val="005239B9"/>
    <w:rsid w:val="005343FB"/>
    <w:rsid w:val="005405D6"/>
    <w:rsid w:val="00552624"/>
    <w:rsid w:val="0055784E"/>
    <w:rsid w:val="00586790"/>
    <w:rsid w:val="005D1848"/>
    <w:rsid w:val="005F50AC"/>
    <w:rsid w:val="005F5DD9"/>
    <w:rsid w:val="0061423D"/>
    <w:rsid w:val="0061589B"/>
    <w:rsid w:val="0062349B"/>
    <w:rsid w:val="0063489B"/>
    <w:rsid w:val="00650D3C"/>
    <w:rsid w:val="0066329B"/>
    <w:rsid w:val="006741CA"/>
    <w:rsid w:val="00686EB7"/>
    <w:rsid w:val="00692DD0"/>
    <w:rsid w:val="00695E54"/>
    <w:rsid w:val="006B7AD3"/>
    <w:rsid w:val="006E47D8"/>
    <w:rsid w:val="00702D5A"/>
    <w:rsid w:val="00707E9A"/>
    <w:rsid w:val="007208DF"/>
    <w:rsid w:val="00762C46"/>
    <w:rsid w:val="00772707"/>
    <w:rsid w:val="00780649"/>
    <w:rsid w:val="00791E11"/>
    <w:rsid w:val="007A2A85"/>
    <w:rsid w:val="007A75B5"/>
    <w:rsid w:val="007B46AF"/>
    <w:rsid w:val="007B74B4"/>
    <w:rsid w:val="007B7CF1"/>
    <w:rsid w:val="007E696B"/>
    <w:rsid w:val="007F1BFF"/>
    <w:rsid w:val="00801E52"/>
    <w:rsid w:val="00806375"/>
    <w:rsid w:val="00807DF7"/>
    <w:rsid w:val="00824007"/>
    <w:rsid w:val="00832473"/>
    <w:rsid w:val="0083657F"/>
    <w:rsid w:val="0084383B"/>
    <w:rsid w:val="008852A2"/>
    <w:rsid w:val="0088575D"/>
    <w:rsid w:val="00886AAC"/>
    <w:rsid w:val="00886E0D"/>
    <w:rsid w:val="008A02E1"/>
    <w:rsid w:val="008A4218"/>
    <w:rsid w:val="008C32FA"/>
    <w:rsid w:val="008D16A1"/>
    <w:rsid w:val="008D1E27"/>
    <w:rsid w:val="008D51A1"/>
    <w:rsid w:val="008E03AC"/>
    <w:rsid w:val="008E6CD8"/>
    <w:rsid w:val="008F62BD"/>
    <w:rsid w:val="009016E3"/>
    <w:rsid w:val="00921DFA"/>
    <w:rsid w:val="00923CBA"/>
    <w:rsid w:val="00927CE9"/>
    <w:rsid w:val="0096214B"/>
    <w:rsid w:val="00962245"/>
    <w:rsid w:val="009A2962"/>
    <w:rsid w:val="009D7DB8"/>
    <w:rsid w:val="009E0822"/>
    <w:rsid w:val="009E38DB"/>
    <w:rsid w:val="009E4644"/>
    <w:rsid w:val="00A07ED5"/>
    <w:rsid w:val="00A123A1"/>
    <w:rsid w:val="00A17093"/>
    <w:rsid w:val="00A24C5F"/>
    <w:rsid w:val="00A42771"/>
    <w:rsid w:val="00A45C2A"/>
    <w:rsid w:val="00A631D8"/>
    <w:rsid w:val="00A71E27"/>
    <w:rsid w:val="00A803B7"/>
    <w:rsid w:val="00A84B18"/>
    <w:rsid w:val="00A90F21"/>
    <w:rsid w:val="00AB291A"/>
    <w:rsid w:val="00AC077F"/>
    <w:rsid w:val="00AF1545"/>
    <w:rsid w:val="00B45092"/>
    <w:rsid w:val="00B6743E"/>
    <w:rsid w:val="00B80083"/>
    <w:rsid w:val="00BE09E2"/>
    <w:rsid w:val="00BE6F6D"/>
    <w:rsid w:val="00C00B75"/>
    <w:rsid w:val="00C10987"/>
    <w:rsid w:val="00C14AFF"/>
    <w:rsid w:val="00C27C84"/>
    <w:rsid w:val="00C352CF"/>
    <w:rsid w:val="00C60E09"/>
    <w:rsid w:val="00C67EE8"/>
    <w:rsid w:val="00C92119"/>
    <w:rsid w:val="00C92E04"/>
    <w:rsid w:val="00CB668F"/>
    <w:rsid w:val="00CC503D"/>
    <w:rsid w:val="00CE0ADE"/>
    <w:rsid w:val="00CF0877"/>
    <w:rsid w:val="00CF3F2C"/>
    <w:rsid w:val="00CF43F7"/>
    <w:rsid w:val="00D05F61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3E84"/>
    <w:rsid w:val="00DD4385"/>
    <w:rsid w:val="00DE4287"/>
    <w:rsid w:val="00E024E0"/>
    <w:rsid w:val="00E21E18"/>
    <w:rsid w:val="00E52DE3"/>
    <w:rsid w:val="00E607DC"/>
    <w:rsid w:val="00E71B85"/>
    <w:rsid w:val="00E87ED1"/>
    <w:rsid w:val="00E92474"/>
    <w:rsid w:val="00E9425C"/>
    <w:rsid w:val="00E96551"/>
    <w:rsid w:val="00EA084B"/>
    <w:rsid w:val="00EB37FC"/>
    <w:rsid w:val="00EC1E90"/>
    <w:rsid w:val="00ED376E"/>
    <w:rsid w:val="00F10DF3"/>
    <w:rsid w:val="00F150A0"/>
    <w:rsid w:val="00F24CE2"/>
    <w:rsid w:val="00F60DC4"/>
    <w:rsid w:val="00F6197E"/>
    <w:rsid w:val="00FA703D"/>
    <w:rsid w:val="00FA7F26"/>
    <w:rsid w:val="00FB4B44"/>
    <w:rsid w:val="00FB536A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757F"/>
  <w15:docId w15:val="{9DBF5126-C8CC-4ECE-9BA8-67F83A98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99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42AFD69-10E9-45C6-B078-0AD92350C079}"/>
</file>

<file path=customXml/itemProps2.xml><?xml version="1.0" encoding="utf-8"?>
<ds:datastoreItem xmlns:ds="http://schemas.openxmlformats.org/officeDocument/2006/customXml" ds:itemID="{808AFF58-B01F-4655-B9A2-D4DE52C12C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ЕХЗ</dc:title>
  <dc:creator>Evgeni Nedialkov</dc:creator>
  <cp:lastModifiedBy>Yavor Kadiiski</cp:lastModifiedBy>
  <cp:revision>10</cp:revision>
  <dcterms:created xsi:type="dcterms:W3CDTF">2022-09-15T13:20:00Z</dcterms:created>
  <dcterms:modified xsi:type="dcterms:W3CDTF">2024-06-13T11:34:00Z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