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1B7421"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1B7421" w:rsidRDefault="00620B29" w:rsidP="001C157F">
      <w:pPr>
        <w:ind w:firstLine="1134"/>
        <w:jc w:val="both"/>
        <w:rPr>
          <w:b/>
          <w:sz w:val="24"/>
          <w:szCs w:val="24"/>
          <w:lang w:val="bg-BG"/>
        </w:rPr>
      </w:pPr>
      <w:r w:rsidRPr="001B7421">
        <w:rPr>
          <w:sz w:val="24"/>
          <w:szCs w:val="24"/>
          <w:lang w:val="ru-RU"/>
        </w:rPr>
        <w:t>1.2. Дървесината по т.</w:t>
      </w:r>
      <w:r w:rsidR="00F42B92" w:rsidRPr="001B7421">
        <w:rPr>
          <w:sz w:val="24"/>
          <w:szCs w:val="24"/>
          <w:lang w:val="ru-RU"/>
        </w:rPr>
        <w:t xml:space="preserve"> </w:t>
      </w:r>
      <w:r w:rsidRPr="001B7421">
        <w:rPr>
          <w:sz w:val="24"/>
          <w:szCs w:val="24"/>
          <w:lang w:val="ru-RU"/>
        </w:rPr>
        <w:t xml:space="preserve">1.1. е в </w:t>
      </w:r>
      <w:r w:rsidRPr="001B7421">
        <w:rPr>
          <w:sz w:val="24"/>
          <w:szCs w:val="24"/>
          <w:lang w:val="bg-BG"/>
        </w:rPr>
        <w:t>обект</w:t>
      </w:r>
      <w:r w:rsidRPr="001B7421">
        <w:rPr>
          <w:bCs/>
          <w:sz w:val="24"/>
          <w:szCs w:val="24"/>
          <w:lang w:val="bg-BG"/>
        </w:rPr>
        <w:t xml:space="preserve"> </w:t>
      </w:r>
      <w:r w:rsidR="001B7421" w:rsidRPr="001B7421">
        <w:rPr>
          <w:sz w:val="24"/>
          <w:szCs w:val="24"/>
        </w:rPr>
        <w:t xml:space="preserve">№ </w:t>
      </w:r>
      <w:r w:rsidR="001B7421" w:rsidRPr="001B7421">
        <w:rPr>
          <w:b/>
          <w:sz w:val="24"/>
          <w:szCs w:val="24"/>
        </w:rPr>
        <w:t>2</w:t>
      </w:r>
      <w:r w:rsidR="001B7421" w:rsidRPr="001B7421">
        <w:rPr>
          <w:b/>
          <w:sz w:val="24"/>
          <w:szCs w:val="24"/>
          <w:lang w:val="en-US"/>
        </w:rPr>
        <w:t>512</w:t>
      </w:r>
      <w:r w:rsidR="001B7421" w:rsidRPr="001B7421">
        <w:rPr>
          <w:b/>
          <w:sz w:val="24"/>
          <w:szCs w:val="24"/>
        </w:rPr>
        <w:t>4,</w:t>
      </w:r>
      <w:r w:rsidR="001B7421" w:rsidRPr="001B7421">
        <w:rPr>
          <w:sz w:val="24"/>
          <w:szCs w:val="24"/>
        </w:rPr>
        <w:t xml:space="preserve"> отдел</w:t>
      </w:r>
      <w:r w:rsidR="001B7421" w:rsidRPr="001B7421">
        <w:rPr>
          <w:sz w:val="24"/>
          <w:szCs w:val="24"/>
          <w:lang w:val="en-US"/>
        </w:rPr>
        <w:t xml:space="preserve"> </w:t>
      </w:r>
      <w:r w:rsidR="001B7421" w:rsidRPr="001B7421">
        <w:rPr>
          <w:b/>
          <w:sz w:val="24"/>
          <w:szCs w:val="24"/>
        </w:rPr>
        <w:t xml:space="preserve">370 </w:t>
      </w:r>
      <w:r w:rsidR="001B7421" w:rsidRPr="001B7421">
        <w:rPr>
          <w:sz w:val="24"/>
          <w:szCs w:val="24"/>
        </w:rPr>
        <w:t xml:space="preserve">подотдели </w:t>
      </w:r>
      <w:r w:rsidR="001B7421" w:rsidRPr="001B7421">
        <w:rPr>
          <w:b/>
          <w:sz w:val="24"/>
          <w:szCs w:val="24"/>
        </w:rPr>
        <w:t xml:space="preserve">„в, д, ж“, </w:t>
      </w:r>
      <w:r w:rsidR="001B7421" w:rsidRPr="001B7421">
        <w:rPr>
          <w:sz w:val="24"/>
          <w:szCs w:val="24"/>
        </w:rPr>
        <w:t>временен склад</w:t>
      </w:r>
      <w:r w:rsidR="001B7421" w:rsidRPr="001B7421">
        <w:rPr>
          <w:b/>
          <w:sz w:val="24"/>
          <w:szCs w:val="24"/>
        </w:rPr>
        <w:t xml:space="preserve"> „Мунчовица”</w:t>
      </w:r>
      <w:r w:rsidR="001B7421" w:rsidRPr="001B7421">
        <w:rPr>
          <w:b/>
          <w:bCs/>
          <w:sz w:val="24"/>
          <w:szCs w:val="24"/>
        </w:rPr>
        <w:t xml:space="preserve">, </w:t>
      </w:r>
      <w:r w:rsidR="001B7421" w:rsidRPr="001B7421">
        <w:rPr>
          <w:bCs/>
          <w:sz w:val="24"/>
          <w:szCs w:val="24"/>
        </w:rPr>
        <w:t xml:space="preserve">дървесен вид: </w:t>
      </w:r>
      <w:r w:rsidR="001B7421" w:rsidRPr="001B7421">
        <w:rPr>
          <w:b/>
          <w:bCs/>
          <w:sz w:val="24"/>
          <w:szCs w:val="24"/>
        </w:rPr>
        <w:t xml:space="preserve">цр, гбр, здб, мжд, кгбр, </w:t>
      </w:r>
      <w:r w:rsidR="001B7421" w:rsidRPr="001B7421">
        <w:rPr>
          <w:bCs/>
          <w:sz w:val="24"/>
          <w:szCs w:val="24"/>
        </w:rPr>
        <w:t xml:space="preserve">съгласно приложената сортиментна ведомост, количество дървесина: </w:t>
      </w:r>
      <w:r w:rsidR="001B7421" w:rsidRPr="001B7421">
        <w:rPr>
          <w:b/>
          <w:bCs/>
          <w:sz w:val="24"/>
          <w:szCs w:val="24"/>
        </w:rPr>
        <w:t>829 (осемстотин двадесет и де</w:t>
      </w:r>
      <w:bookmarkStart w:id="0" w:name="_GoBack"/>
      <w:bookmarkEnd w:id="0"/>
      <w:r w:rsidR="001B7421" w:rsidRPr="001B7421">
        <w:rPr>
          <w:b/>
          <w:bCs/>
          <w:sz w:val="24"/>
          <w:szCs w:val="24"/>
        </w:rPr>
        <w:t>вет) пр. куб. м</w:t>
      </w:r>
      <w:r w:rsidRPr="001B7421">
        <w:rPr>
          <w:b/>
          <w:sz w:val="24"/>
          <w:szCs w:val="24"/>
          <w:lang w:val="bg-BG"/>
        </w:rPr>
        <w:t xml:space="preserve">, </w:t>
      </w:r>
      <w:r w:rsidRPr="001B7421">
        <w:rPr>
          <w:sz w:val="24"/>
          <w:szCs w:val="24"/>
          <w:lang w:val="bg-BG"/>
        </w:rPr>
        <w:t>разпределено по категории</w:t>
      </w:r>
      <w:r w:rsidR="005C6B75" w:rsidRPr="001B7421">
        <w:rPr>
          <w:sz w:val="24"/>
          <w:szCs w:val="24"/>
          <w:lang w:val="bg-BG"/>
        </w:rPr>
        <w:t xml:space="preserve"> дървесина и </w:t>
      </w:r>
      <w:r w:rsidRPr="001B7421">
        <w:rPr>
          <w:sz w:val="24"/>
          <w:szCs w:val="24"/>
          <w:lang w:val="bg-BG"/>
        </w:rPr>
        <w:t>сортименти както следва</w:t>
      </w:r>
      <w:r w:rsidRPr="001B7421">
        <w:rPr>
          <w:b/>
          <w:sz w:val="24"/>
          <w:szCs w:val="24"/>
          <w:lang w:val="bg-BG"/>
        </w:rPr>
        <w:t>:</w:t>
      </w:r>
    </w:p>
    <w:p w:rsidR="00EC7CD8" w:rsidRPr="0084408E" w:rsidRDefault="00EC7CD8" w:rsidP="001C157F">
      <w:pPr>
        <w:ind w:firstLine="1134"/>
        <w:jc w:val="both"/>
        <w:rPr>
          <w:b/>
          <w:sz w:val="24"/>
          <w:szCs w:val="24"/>
          <w:lang w:val="bg-BG"/>
        </w:rPr>
      </w:pPr>
    </w:p>
    <w:tbl>
      <w:tblPr>
        <w:tblW w:w="10065" w:type="dxa"/>
        <w:tblLayout w:type="fixed"/>
        <w:tblCellMar>
          <w:left w:w="70" w:type="dxa"/>
          <w:right w:w="70" w:type="dxa"/>
        </w:tblCellMar>
        <w:tblLook w:val="04A0" w:firstRow="1" w:lastRow="0" w:firstColumn="1" w:lastColumn="0" w:noHBand="0" w:noVBand="1"/>
      </w:tblPr>
      <w:tblGrid>
        <w:gridCol w:w="946"/>
        <w:gridCol w:w="1181"/>
        <w:gridCol w:w="709"/>
        <w:gridCol w:w="2410"/>
        <w:gridCol w:w="708"/>
        <w:gridCol w:w="749"/>
        <w:gridCol w:w="1071"/>
        <w:gridCol w:w="1157"/>
        <w:gridCol w:w="1134"/>
      </w:tblGrid>
      <w:tr w:rsidR="001B7421" w:rsidTr="003C7DB0">
        <w:trPr>
          <w:cantSplit/>
          <w:trHeight w:val="923"/>
        </w:trPr>
        <w:tc>
          <w:tcPr>
            <w:tcW w:w="946" w:type="dxa"/>
            <w:vMerge w:val="restart"/>
            <w:tcBorders>
              <w:top w:val="single" w:sz="4" w:space="0" w:color="auto"/>
              <w:left w:val="single" w:sz="4" w:space="0" w:color="auto"/>
              <w:bottom w:val="nil"/>
              <w:right w:val="nil"/>
            </w:tcBorders>
            <w:vAlign w:val="center"/>
            <w:hideMark/>
          </w:tcPr>
          <w:p w:rsidR="001B7421" w:rsidRDefault="001B7421" w:rsidP="003C7DB0">
            <w:pPr>
              <w:jc w:val="center"/>
              <w:rPr>
                <w:b/>
                <w:bCs/>
              </w:rPr>
            </w:pPr>
            <w:r>
              <w:rPr>
                <w:b/>
                <w:bCs/>
              </w:rPr>
              <w:t>№ на обект</w:t>
            </w:r>
          </w:p>
        </w:tc>
        <w:tc>
          <w:tcPr>
            <w:tcW w:w="1181" w:type="dxa"/>
            <w:vMerge w:val="restart"/>
            <w:tcBorders>
              <w:top w:val="single" w:sz="4" w:space="0" w:color="auto"/>
              <w:left w:val="single" w:sz="8" w:space="0" w:color="auto"/>
              <w:bottom w:val="single" w:sz="4" w:space="0" w:color="auto"/>
              <w:right w:val="single" w:sz="8" w:space="0" w:color="auto"/>
            </w:tcBorders>
            <w:vAlign w:val="center"/>
            <w:hideMark/>
          </w:tcPr>
          <w:p w:rsidR="001B7421" w:rsidRDefault="001B7421" w:rsidP="003C7DB0">
            <w:pPr>
              <w:rPr>
                <w:b/>
                <w:bCs/>
              </w:rPr>
            </w:pPr>
            <w:r>
              <w:rPr>
                <w:b/>
                <w:bCs/>
              </w:rPr>
              <w:t>отдел, подотдел</w:t>
            </w:r>
          </w:p>
        </w:tc>
        <w:tc>
          <w:tcPr>
            <w:tcW w:w="709" w:type="dxa"/>
            <w:vMerge w:val="restart"/>
            <w:tcBorders>
              <w:top w:val="single" w:sz="4" w:space="0" w:color="auto"/>
              <w:left w:val="nil"/>
              <w:bottom w:val="single" w:sz="4" w:space="0" w:color="auto"/>
              <w:right w:val="single" w:sz="4" w:space="0" w:color="auto"/>
            </w:tcBorders>
            <w:textDirection w:val="btLr"/>
            <w:vAlign w:val="center"/>
            <w:hideMark/>
          </w:tcPr>
          <w:p w:rsidR="001B7421" w:rsidRDefault="001B7421" w:rsidP="003C7DB0">
            <w:pPr>
              <w:ind w:left="113" w:right="113"/>
              <w:jc w:val="center"/>
              <w:rPr>
                <w:b/>
                <w:bCs/>
              </w:rPr>
            </w:pPr>
            <w:r>
              <w:rPr>
                <w:b/>
                <w:bCs/>
              </w:rPr>
              <w:t>Дървесен вид</w:t>
            </w:r>
          </w:p>
        </w:tc>
        <w:tc>
          <w:tcPr>
            <w:tcW w:w="2410" w:type="dxa"/>
            <w:vMerge w:val="restart"/>
            <w:tcBorders>
              <w:top w:val="single" w:sz="4" w:space="0" w:color="auto"/>
              <w:left w:val="nil"/>
              <w:bottom w:val="single" w:sz="4" w:space="0" w:color="auto"/>
              <w:right w:val="single" w:sz="4" w:space="0" w:color="auto"/>
            </w:tcBorders>
            <w:vAlign w:val="center"/>
            <w:hideMark/>
          </w:tcPr>
          <w:p w:rsidR="001B7421" w:rsidRDefault="001B7421" w:rsidP="003C7DB0">
            <w:pPr>
              <w:jc w:val="center"/>
              <w:rPr>
                <w:b/>
                <w:bCs/>
              </w:rPr>
            </w:pPr>
            <w:r>
              <w:rPr>
                <w:b/>
                <w:bCs/>
              </w:rPr>
              <w:t>Сортименти</w:t>
            </w:r>
          </w:p>
        </w:tc>
        <w:tc>
          <w:tcPr>
            <w:tcW w:w="1457" w:type="dxa"/>
            <w:gridSpan w:val="2"/>
            <w:tcBorders>
              <w:top w:val="single" w:sz="4" w:space="0" w:color="auto"/>
              <w:left w:val="nil"/>
              <w:bottom w:val="nil"/>
              <w:right w:val="nil"/>
            </w:tcBorders>
          </w:tcPr>
          <w:p w:rsidR="001B7421" w:rsidRDefault="001B7421" w:rsidP="003C7DB0">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1B7421" w:rsidRDefault="001B7421" w:rsidP="003C7DB0">
            <w:pPr>
              <w:rPr>
                <w:b/>
                <w:bCs/>
              </w:rPr>
            </w:pPr>
          </w:p>
        </w:tc>
        <w:tc>
          <w:tcPr>
            <w:tcW w:w="1071" w:type="dxa"/>
            <w:vMerge w:val="restart"/>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jc w:val="center"/>
              <w:rPr>
                <w:b/>
                <w:bCs/>
                <w:color w:val="000000"/>
                <w:sz w:val="18"/>
                <w:szCs w:val="18"/>
              </w:rPr>
            </w:pPr>
            <w:r>
              <w:rPr>
                <w:b/>
                <w:bCs/>
                <w:color w:val="000000"/>
                <w:sz w:val="18"/>
                <w:szCs w:val="18"/>
              </w:rPr>
              <w:t>Начална цена добив  лв./пл.м3</w:t>
            </w:r>
          </w:p>
        </w:tc>
        <w:tc>
          <w:tcPr>
            <w:tcW w:w="1157" w:type="dxa"/>
            <w:vMerge w:val="restart"/>
            <w:tcBorders>
              <w:top w:val="single" w:sz="4" w:space="0" w:color="auto"/>
              <w:left w:val="nil"/>
              <w:bottom w:val="single" w:sz="4" w:space="0" w:color="auto"/>
              <w:right w:val="single" w:sz="4" w:space="0" w:color="auto"/>
            </w:tcBorders>
            <w:vAlign w:val="center"/>
            <w:hideMark/>
          </w:tcPr>
          <w:p w:rsidR="001B7421" w:rsidRDefault="001B7421" w:rsidP="003C7DB0">
            <w:pPr>
              <w:jc w:val="center"/>
              <w:rPr>
                <w:b/>
                <w:bCs/>
                <w:color w:val="000000"/>
                <w:sz w:val="18"/>
                <w:szCs w:val="18"/>
              </w:rPr>
            </w:pPr>
            <w:r>
              <w:rPr>
                <w:b/>
                <w:bCs/>
                <w:color w:val="000000"/>
                <w:sz w:val="18"/>
                <w:szCs w:val="18"/>
              </w:rPr>
              <w:t xml:space="preserve">Начална цена за добив лв./пр.м3 </w:t>
            </w:r>
          </w:p>
        </w:tc>
        <w:tc>
          <w:tcPr>
            <w:tcW w:w="1134" w:type="dxa"/>
            <w:vMerge w:val="restart"/>
            <w:tcBorders>
              <w:top w:val="single" w:sz="4" w:space="0" w:color="auto"/>
              <w:left w:val="nil"/>
              <w:bottom w:val="single" w:sz="4" w:space="0" w:color="auto"/>
              <w:right w:val="single" w:sz="4" w:space="0" w:color="auto"/>
            </w:tcBorders>
            <w:vAlign w:val="center"/>
            <w:hideMark/>
          </w:tcPr>
          <w:p w:rsidR="001B7421" w:rsidRDefault="001B7421" w:rsidP="003C7DB0">
            <w:pPr>
              <w:jc w:val="center"/>
              <w:rPr>
                <w:b/>
                <w:bCs/>
                <w:color w:val="000000"/>
              </w:rPr>
            </w:pPr>
            <w:r>
              <w:rPr>
                <w:b/>
                <w:bCs/>
                <w:color w:val="000000"/>
              </w:rPr>
              <w:t>Обща стойност лв. без ДДС</w:t>
            </w:r>
          </w:p>
        </w:tc>
      </w:tr>
      <w:tr w:rsidR="001B7421" w:rsidTr="003C7DB0">
        <w:trPr>
          <w:cantSplit/>
          <w:trHeight w:val="327"/>
        </w:trPr>
        <w:tc>
          <w:tcPr>
            <w:tcW w:w="946" w:type="dxa"/>
            <w:vMerge/>
            <w:tcBorders>
              <w:top w:val="single" w:sz="4" w:space="0" w:color="auto"/>
              <w:left w:val="single" w:sz="4" w:space="0" w:color="auto"/>
              <w:bottom w:val="nil"/>
              <w:right w:val="nil"/>
            </w:tcBorders>
            <w:vAlign w:val="center"/>
            <w:hideMark/>
          </w:tcPr>
          <w:p w:rsidR="001B7421" w:rsidRDefault="001B7421" w:rsidP="003C7DB0">
            <w:pPr>
              <w:rPr>
                <w:b/>
                <w:bCs/>
              </w:rPr>
            </w:pPr>
          </w:p>
        </w:tc>
        <w:tc>
          <w:tcPr>
            <w:tcW w:w="1181" w:type="dxa"/>
            <w:vMerge/>
            <w:tcBorders>
              <w:top w:val="single" w:sz="4" w:space="0" w:color="auto"/>
              <w:left w:val="single" w:sz="8" w:space="0" w:color="auto"/>
              <w:bottom w:val="single" w:sz="4" w:space="0" w:color="auto"/>
              <w:right w:val="single" w:sz="8" w:space="0" w:color="auto"/>
            </w:tcBorders>
            <w:vAlign w:val="center"/>
            <w:hideMark/>
          </w:tcPr>
          <w:p w:rsidR="001B7421" w:rsidRDefault="001B7421" w:rsidP="003C7DB0">
            <w:pPr>
              <w:rPr>
                <w:b/>
                <w:bCs/>
              </w:rPr>
            </w:pPr>
          </w:p>
        </w:tc>
        <w:tc>
          <w:tcPr>
            <w:tcW w:w="709" w:type="dxa"/>
            <w:vMerge/>
            <w:tcBorders>
              <w:top w:val="single" w:sz="4" w:space="0" w:color="auto"/>
              <w:left w:val="nil"/>
              <w:bottom w:val="single" w:sz="4" w:space="0" w:color="auto"/>
              <w:right w:val="single" w:sz="4" w:space="0" w:color="auto"/>
            </w:tcBorders>
            <w:vAlign w:val="center"/>
            <w:hideMark/>
          </w:tcPr>
          <w:p w:rsidR="001B7421" w:rsidRDefault="001B7421" w:rsidP="003C7DB0">
            <w:pPr>
              <w:rPr>
                <w:b/>
                <w:bCs/>
              </w:rPr>
            </w:pPr>
          </w:p>
        </w:tc>
        <w:tc>
          <w:tcPr>
            <w:tcW w:w="2410" w:type="dxa"/>
            <w:vMerge/>
            <w:tcBorders>
              <w:top w:val="single" w:sz="4" w:space="0" w:color="auto"/>
              <w:left w:val="nil"/>
              <w:bottom w:val="single" w:sz="4" w:space="0" w:color="auto"/>
              <w:right w:val="single" w:sz="4" w:space="0" w:color="auto"/>
            </w:tcBorders>
            <w:vAlign w:val="center"/>
            <w:hideMark/>
          </w:tcPr>
          <w:p w:rsidR="001B7421" w:rsidRDefault="001B7421" w:rsidP="003C7DB0">
            <w:pPr>
              <w:rPr>
                <w:b/>
                <w:bCs/>
              </w:rPr>
            </w:pPr>
          </w:p>
        </w:tc>
        <w:tc>
          <w:tcPr>
            <w:tcW w:w="708" w:type="dxa"/>
            <w:tcBorders>
              <w:top w:val="single" w:sz="4" w:space="0" w:color="auto"/>
              <w:left w:val="nil"/>
              <w:bottom w:val="single" w:sz="4" w:space="0" w:color="auto"/>
              <w:right w:val="single" w:sz="4" w:space="0" w:color="auto"/>
            </w:tcBorders>
          </w:tcPr>
          <w:p w:rsidR="001B7421" w:rsidRDefault="001B7421" w:rsidP="003C7DB0">
            <w:pPr>
              <w:jc w:val="center"/>
              <w:rPr>
                <w:b/>
                <w:bCs/>
                <w:color w:val="000000"/>
              </w:rPr>
            </w:pPr>
          </w:p>
          <w:p w:rsidR="001B7421" w:rsidRDefault="001B7421" w:rsidP="003C7DB0">
            <w:pPr>
              <w:jc w:val="center"/>
              <w:rPr>
                <w:b/>
                <w:bCs/>
                <w:color w:val="000000"/>
              </w:rPr>
            </w:pPr>
            <w:r>
              <w:rPr>
                <w:b/>
                <w:bCs/>
                <w:color w:val="000000"/>
              </w:rPr>
              <w:t>пл.м3</w:t>
            </w:r>
          </w:p>
        </w:tc>
        <w:tc>
          <w:tcPr>
            <w:tcW w:w="749" w:type="dxa"/>
            <w:tcBorders>
              <w:top w:val="single" w:sz="4" w:space="0" w:color="auto"/>
              <w:left w:val="single" w:sz="4" w:space="0" w:color="auto"/>
              <w:bottom w:val="single" w:sz="4" w:space="0" w:color="auto"/>
              <w:right w:val="nil"/>
            </w:tcBorders>
            <w:vAlign w:val="bottom"/>
            <w:hideMark/>
          </w:tcPr>
          <w:p w:rsidR="001B7421" w:rsidRDefault="001B7421" w:rsidP="003C7DB0">
            <w:pPr>
              <w:jc w:val="center"/>
              <w:rPr>
                <w:b/>
                <w:bCs/>
                <w:color w:val="000000"/>
              </w:rPr>
            </w:pPr>
            <w:r>
              <w:rPr>
                <w:b/>
                <w:bCs/>
                <w:color w:val="000000"/>
              </w:rPr>
              <w:t>пр.м3</w:t>
            </w: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rPr>
                <w:b/>
                <w:bCs/>
                <w:color w:val="000000"/>
                <w:sz w:val="18"/>
                <w:szCs w:val="18"/>
              </w:rPr>
            </w:pPr>
          </w:p>
        </w:tc>
        <w:tc>
          <w:tcPr>
            <w:tcW w:w="1157" w:type="dxa"/>
            <w:vMerge/>
            <w:tcBorders>
              <w:top w:val="single" w:sz="4" w:space="0" w:color="auto"/>
              <w:left w:val="nil"/>
              <w:bottom w:val="single" w:sz="4" w:space="0" w:color="auto"/>
              <w:right w:val="single" w:sz="4" w:space="0" w:color="auto"/>
            </w:tcBorders>
            <w:vAlign w:val="center"/>
            <w:hideMark/>
          </w:tcPr>
          <w:p w:rsidR="001B7421" w:rsidRDefault="001B7421" w:rsidP="003C7DB0">
            <w:pPr>
              <w:rPr>
                <w:b/>
                <w:bCs/>
                <w:color w:val="000000"/>
                <w:sz w:val="18"/>
                <w:szCs w:val="18"/>
              </w:rPr>
            </w:pPr>
          </w:p>
        </w:tc>
        <w:tc>
          <w:tcPr>
            <w:tcW w:w="1134" w:type="dxa"/>
            <w:vMerge/>
            <w:tcBorders>
              <w:top w:val="single" w:sz="4" w:space="0" w:color="auto"/>
              <w:left w:val="nil"/>
              <w:bottom w:val="single" w:sz="4" w:space="0" w:color="auto"/>
              <w:right w:val="single" w:sz="4" w:space="0" w:color="auto"/>
            </w:tcBorders>
            <w:vAlign w:val="center"/>
            <w:hideMark/>
          </w:tcPr>
          <w:p w:rsidR="001B7421" w:rsidRDefault="001B7421" w:rsidP="003C7DB0">
            <w:pPr>
              <w:rPr>
                <w:b/>
                <w:bCs/>
                <w:color w:val="000000"/>
              </w:rPr>
            </w:pPr>
          </w:p>
        </w:tc>
      </w:tr>
      <w:tr w:rsidR="001B7421" w:rsidTr="003C7DB0">
        <w:trPr>
          <w:trHeight w:val="157"/>
        </w:trPr>
        <w:tc>
          <w:tcPr>
            <w:tcW w:w="946" w:type="dxa"/>
            <w:tcBorders>
              <w:top w:val="nil"/>
              <w:left w:val="single" w:sz="4" w:space="0" w:color="auto"/>
              <w:bottom w:val="nil"/>
              <w:right w:val="single" w:sz="4" w:space="0" w:color="auto"/>
            </w:tcBorders>
            <w:noWrap/>
            <w:vAlign w:val="center"/>
          </w:tcPr>
          <w:p w:rsidR="001B7421" w:rsidRDefault="001B7421" w:rsidP="003C7DB0">
            <w:pPr>
              <w:rPr>
                <w:b/>
                <w:bCs/>
              </w:rPr>
            </w:pPr>
          </w:p>
        </w:tc>
        <w:tc>
          <w:tcPr>
            <w:tcW w:w="1181" w:type="dxa"/>
            <w:vMerge w:val="restart"/>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ind w:left="197"/>
              <w:jc w:val="center"/>
              <w:rPr>
                <w:b/>
                <w:bCs/>
              </w:rPr>
            </w:pPr>
            <w:r>
              <w:rPr>
                <w:b/>
                <w:bCs/>
              </w:rPr>
              <w:t>370 в</w:t>
            </w:r>
          </w:p>
        </w:tc>
        <w:tc>
          <w:tcPr>
            <w:tcW w:w="709" w:type="dxa"/>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jc w:val="center"/>
            </w:pPr>
            <w:r>
              <w:t>Цр</w:t>
            </w:r>
          </w:p>
        </w:tc>
        <w:tc>
          <w:tcPr>
            <w:tcW w:w="2410" w:type="dxa"/>
            <w:tcBorders>
              <w:top w:val="single" w:sz="4" w:space="0" w:color="auto"/>
              <w:left w:val="single" w:sz="4" w:space="0" w:color="auto"/>
              <w:bottom w:val="single" w:sz="4" w:space="0" w:color="auto"/>
              <w:right w:val="nil"/>
            </w:tcBorders>
            <w:vAlign w:val="center"/>
            <w:hideMark/>
          </w:tcPr>
          <w:p w:rsidR="001B7421" w:rsidRDefault="001B7421" w:rsidP="003C7DB0">
            <w:r>
              <w:t>Средна техн. дървесина</w:t>
            </w:r>
          </w:p>
        </w:tc>
        <w:tc>
          <w:tcPr>
            <w:tcW w:w="708" w:type="dxa"/>
            <w:tcBorders>
              <w:top w:val="single" w:sz="4" w:space="0" w:color="auto"/>
              <w:left w:val="single" w:sz="4" w:space="0" w:color="auto"/>
              <w:bottom w:val="nil"/>
              <w:right w:val="single" w:sz="4" w:space="0" w:color="auto"/>
            </w:tcBorders>
            <w:hideMark/>
          </w:tcPr>
          <w:p w:rsidR="001B7421" w:rsidRDefault="001B7421" w:rsidP="003C7DB0">
            <w:pPr>
              <w:jc w:val="center"/>
            </w:pPr>
            <w:r>
              <w:t>7</w:t>
            </w:r>
          </w:p>
        </w:tc>
        <w:tc>
          <w:tcPr>
            <w:tcW w:w="749" w:type="dxa"/>
            <w:tcBorders>
              <w:top w:val="single" w:sz="4" w:space="0" w:color="auto"/>
              <w:left w:val="single" w:sz="4" w:space="0" w:color="auto"/>
              <w:bottom w:val="nil"/>
              <w:right w:val="nil"/>
            </w:tcBorders>
            <w:vAlign w:val="center"/>
            <w:hideMark/>
          </w:tcPr>
          <w:p w:rsidR="001B7421" w:rsidRDefault="001B7421" w:rsidP="003C7DB0">
            <w:pPr>
              <w:jc w:val="center"/>
            </w:pPr>
            <w:r>
              <w:t>11</w:t>
            </w:r>
          </w:p>
        </w:tc>
        <w:tc>
          <w:tcPr>
            <w:tcW w:w="1071" w:type="dxa"/>
            <w:tcBorders>
              <w:top w:val="single" w:sz="4" w:space="0" w:color="auto"/>
              <w:left w:val="single" w:sz="8" w:space="0" w:color="auto"/>
              <w:bottom w:val="single" w:sz="4" w:space="0" w:color="auto"/>
              <w:right w:val="single" w:sz="4" w:space="0" w:color="auto"/>
            </w:tcBorders>
            <w:noWrap/>
            <w:vAlign w:val="center"/>
          </w:tcPr>
          <w:p w:rsidR="001B7421" w:rsidRDefault="001B7421" w:rsidP="003C7DB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center"/>
            </w:pPr>
            <w:r>
              <w:t>30,00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right"/>
            </w:pPr>
            <w:r>
              <w:t>330,00</w:t>
            </w:r>
          </w:p>
        </w:tc>
      </w:tr>
      <w:tr w:rsidR="001B7421" w:rsidTr="003C7DB0">
        <w:trPr>
          <w:trHeight w:val="261"/>
        </w:trPr>
        <w:tc>
          <w:tcPr>
            <w:tcW w:w="946" w:type="dxa"/>
            <w:tcBorders>
              <w:top w:val="nil"/>
              <w:left w:val="single" w:sz="4" w:space="0" w:color="auto"/>
              <w:bottom w:val="nil"/>
              <w:right w:val="single" w:sz="4" w:space="0" w:color="auto"/>
            </w:tcBorders>
            <w:noWrap/>
            <w:vAlign w:val="center"/>
          </w:tcPr>
          <w:p w:rsidR="001B7421" w:rsidRDefault="001B7421" w:rsidP="003C7DB0">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1B7421" w:rsidRDefault="001B7421" w:rsidP="003C7DB0">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1B7421" w:rsidRDefault="001B7421" w:rsidP="003C7DB0">
            <w:pPr>
              <w:jc w:val="center"/>
            </w:pPr>
            <w:r>
              <w:t>Гбр</w:t>
            </w:r>
          </w:p>
        </w:tc>
        <w:tc>
          <w:tcPr>
            <w:tcW w:w="2410" w:type="dxa"/>
            <w:tcBorders>
              <w:top w:val="single" w:sz="4" w:space="0" w:color="auto"/>
              <w:left w:val="single" w:sz="4" w:space="0" w:color="auto"/>
              <w:bottom w:val="single" w:sz="4" w:space="0" w:color="auto"/>
              <w:right w:val="nil"/>
            </w:tcBorders>
            <w:vAlign w:val="center"/>
          </w:tcPr>
          <w:p w:rsidR="001B7421" w:rsidRDefault="001B7421" w:rsidP="003C7DB0">
            <w:r>
              <w:t>Средна техн. дървесина</w:t>
            </w:r>
          </w:p>
        </w:tc>
        <w:tc>
          <w:tcPr>
            <w:tcW w:w="708" w:type="dxa"/>
            <w:tcBorders>
              <w:top w:val="single" w:sz="4" w:space="0" w:color="auto"/>
              <w:left w:val="single" w:sz="4" w:space="0" w:color="auto"/>
              <w:bottom w:val="nil"/>
              <w:right w:val="single" w:sz="4" w:space="0" w:color="auto"/>
            </w:tcBorders>
          </w:tcPr>
          <w:p w:rsidR="001B7421" w:rsidRDefault="001B7421" w:rsidP="003C7DB0">
            <w:pPr>
              <w:jc w:val="center"/>
            </w:pPr>
            <w:r>
              <w:t>8</w:t>
            </w:r>
          </w:p>
        </w:tc>
        <w:tc>
          <w:tcPr>
            <w:tcW w:w="749" w:type="dxa"/>
            <w:tcBorders>
              <w:top w:val="single" w:sz="4" w:space="0" w:color="auto"/>
              <w:left w:val="single" w:sz="4" w:space="0" w:color="auto"/>
              <w:bottom w:val="nil"/>
              <w:right w:val="single" w:sz="4" w:space="0" w:color="auto"/>
            </w:tcBorders>
            <w:vAlign w:val="center"/>
          </w:tcPr>
          <w:p w:rsidR="001B7421" w:rsidRDefault="001B7421" w:rsidP="003C7DB0">
            <w:pPr>
              <w:jc w:val="center"/>
            </w:pPr>
            <w:r>
              <w:t>13</w:t>
            </w:r>
          </w:p>
        </w:tc>
        <w:tc>
          <w:tcPr>
            <w:tcW w:w="1071"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pPr>
            <w:r>
              <w:t>30,00</w:t>
            </w:r>
          </w:p>
        </w:tc>
        <w:tc>
          <w:tcPr>
            <w:tcW w:w="1134"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right"/>
            </w:pPr>
            <w:r>
              <w:t>390,00</w:t>
            </w:r>
          </w:p>
        </w:tc>
      </w:tr>
      <w:tr w:rsidR="001B7421" w:rsidTr="003C7DB0">
        <w:trPr>
          <w:trHeight w:val="261"/>
        </w:trPr>
        <w:tc>
          <w:tcPr>
            <w:tcW w:w="946" w:type="dxa"/>
            <w:tcBorders>
              <w:top w:val="nil"/>
              <w:left w:val="single" w:sz="4" w:space="0" w:color="auto"/>
              <w:bottom w:val="nil"/>
              <w:right w:val="single" w:sz="4" w:space="0" w:color="auto"/>
            </w:tcBorders>
            <w:noWrap/>
            <w:vAlign w:val="center"/>
          </w:tcPr>
          <w:p w:rsidR="001B7421" w:rsidRDefault="001B7421" w:rsidP="003C7DB0">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1B7421" w:rsidRDefault="001B7421" w:rsidP="003C7DB0">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1B7421" w:rsidRDefault="001B7421" w:rsidP="003C7DB0">
            <w:pPr>
              <w:jc w:val="center"/>
            </w:pPr>
            <w:r>
              <w:t>Здб</w:t>
            </w:r>
          </w:p>
        </w:tc>
        <w:tc>
          <w:tcPr>
            <w:tcW w:w="2410" w:type="dxa"/>
            <w:tcBorders>
              <w:top w:val="single" w:sz="4" w:space="0" w:color="auto"/>
              <w:left w:val="single" w:sz="4" w:space="0" w:color="auto"/>
              <w:bottom w:val="single" w:sz="4" w:space="0" w:color="auto"/>
              <w:right w:val="nil"/>
            </w:tcBorders>
            <w:vAlign w:val="center"/>
          </w:tcPr>
          <w:p w:rsidR="001B7421" w:rsidRDefault="001B7421" w:rsidP="003C7DB0">
            <w:r>
              <w:t>Средна техн. дървесина</w:t>
            </w:r>
          </w:p>
        </w:tc>
        <w:tc>
          <w:tcPr>
            <w:tcW w:w="708" w:type="dxa"/>
            <w:tcBorders>
              <w:top w:val="single" w:sz="4" w:space="0" w:color="auto"/>
              <w:left w:val="single" w:sz="4" w:space="0" w:color="auto"/>
              <w:bottom w:val="nil"/>
              <w:right w:val="single" w:sz="4" w:space="0" w:color="auto"/>
            </w:tcBorders>
          </w:tcPr>
          <w:p w:rsidR="001B7421" w:rsidRDefault="001B7421" w:rsidP="003C7DB0">
            <w:pPr>
              <w:jc w:val="center"/>
            </w:pPr>
            <w:r>
              <w:t>5</w:t>
            </w:r>
          </w:p>
        </w:tc>
        <w:tc>
          <w:tcPr>
            <w:tcW w:w="749" w:type="dxa"/>
            <w:tcBorders>
              <w:top w:val="single" w:sz="4" w:space="0" w:color="auto"/>
              <w:left w:val="single" w:sz="4" w:space="0" w:color="auto"/>
              <w:bottom w:val="nil"/>
              <w:right w:val="single" w:sz="4" w:space="0" w:color="auto"/>
            </w:tcBorders>
            <w:vAlign w:val="center"/>
          </w:tcPr>
          <w:p w:rsidR="001B7421" w:rsidRDefault="001B7421" w:rsidP="003C7DB0">
            <w:pPr>
              <w:jc w:val="center"/>
            </w:pPr>
            <w:r>
              <w:t>8</w:t>
            </w:r>
          </w:p>
        </w:tc>
        <w:tc>
          <w:tcPr>
            <w:tcW w:w="1071"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pPr>
            <w:r>
              <w:t>30,00</w:t>
            </w:r>
          </w:p>
        </w:tc>
        <w:tc>
          <w:tcPr>
            <w:tcW w:w="1134"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right"/>
            </w:pPr>
            <w:r>
              <w:t>240,00</w:t>
            </w:r>
          </w:p>
        </w:tc>
      </w:tr>
      <w:tr w:rsidR="001B7421" w:rsidTr="003C7DB0">
        <w:trPr>
          <w:trHeight w:val="261"/>
        </w:trPr>
        <w:tc>
          <w:tcPr>
            <w:tcW w:w="946" w:type="dxa"/>
            <w:tcBorders>
              <w:top w:val="nil"/>
              <w:left w:val="single" w:sz="4" w:space="0" w:color="auto"/>
              <w:bottom w:val="nil"/>
              <w:right w:val="single" w:sz="4" w:space="0" w:color="auto"/>
            </w:tcBorders>
            <w:noWrap/>
            <w:vAlign w:val="center"/>
          </w:tcPr>
          <w:p w:rsidR="001B7421" w:rsidRDefault="001B7421" w:rsidP="003C7DB0">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1B7421" w:rsidRDefault="001B7421" w:rsidP="003C7DB0">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1B7421" w:rsidRDefault="001B7421" w:rsidP="003C7DB0">
            <w:pPr>
              <w:jc w:val="center"/>
            </w:pPr>
            <w:r>
              <w:t>Гбр</w:t>
            </w:r>
          </w:p>
        </w:tc>
        <w:tc>
          <w:tcPr>
            <w:tcW w:w="2410" w:type="dxa"/>
            <w:tcBorders>
              <w:top w:val="single" w:sz="4" w:space="0" w:color="auto"/>
              <w:left w:val="single" w:sz="4" w:space="0" w:color="auto"/>
              <w:bottom w:val="single" w:sz="4" w:space="0" w:color="auto"/>
              <w:right w:val="nil"/>
            </w:tcBorders>
            <w:vAlign w:val="center"/>
          </w:tcPr>
          <w:p w:rsidR="001B7421" w:rsidRDefault="001B7421" w:rsidP="003C7DB0">
            <w:r>
              <w:t>Дребна техн. дървесина</w:t>
            </w:r>
          </w:p>
        </w:tc>
        <w:tc>
          <w:tcPr>
            <w:tcW w:w="708" w:type="dxa"/>
            <w:tcBorders>
              <w:top w:val="single" w:sz="4" w:space="0" w:color="auto"/>
              <w:left w:val="single" w:sz="4" w:space="0" w:color="auto"/>
              <w:bottom w:val="nil"/>
              <w:right w:val="single" w:sz="4" w:space="0" w:color="auto"/>
            </w:tcBorders>
          </w:tcPr>
          <w:p w:rsidR="001B7421" w:rsidRDefault="001B7421" w:rsidP="003C7DB0">
            <w:pPr>
              <w:jc w:val="center"/>
            </w:pPr>
            <w:r>
              <w:t>1</w:t>
            </w:r>
          </w:p>
        </w:tc>
        <w:tc>
          <w:tcPr>
            <w:tcW w:w="749" w:type="dxa"/>
            <w:tcBorders>
              <w:top w:val="single" w:sz="4" w:space="0" w:color="auto"/>
              <w:left w:val="single" w:sz="4" w:space="0" w:color="auto"/>
              <w:bottom w:val="nil"/>
              <w:right w:val="single" w:sz="4" w:space="0" w:color="auto"/>
            </w:tcBorders>
            <w:vAlign w:val="center"/>
          </w:tcPr>
          <w:p w:rsidR="001B7421" w:rsidRDefault="001B7421" w:rsidP="003C7DB0">
            <w:pPr>
              <w:jc w:val="center"/>
            </w:pPr>
            <w:r>
              <w:t>2</w:t>
            </w:r>
          </w:p>
        </w:tc>
        <w:tc>
          <w:tcPr>
            <w:tcW w:w="1071"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pPr>
            <w:r>
              <w:t>30,00</w:t>
            </w:r>
          </w:p>
        </w:tc>
        <w:tc>
          <w:tcPr>
            <w:tcW w:w="1134"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right"/>
            </w:pPr>
            <w:r>
              <w:t>60,00</w:t>
            </w:r>
          </w:p>
        </w:tc>
      </w:tr>
      <w:tr w:rsidR="001B7421" w:rsidTr="003C7DB0">
        <w:trPr>
          <w:trHeight w:val="261"/>
        </w:trPr>
        <w:tc>
          <w:tcPr>
            <w:tcW w:w="946" w:type="dxa"/>
            <w:tcBorders>
              <w:top w:val="nil"/>
              <w:left w:val="single" w:sz="4" w:space="0" w:color="auto"/>
              <w:bottom w:val="nil"/>
              <w:right w:val="single" w:sz="4" w:space="0" w:color="auto"/>
            </w:tcBorders>
            <w:noWrap/>
            <w:vAlign w:val="center"/>
          </w:tcPr>
          <w:p w:rsidR="001B7421" w:rsidRDefault="001B7421" w:rsidP="003C7DB0">
            <w:pPr>
              <w:rPr>
                <w:b/>
                <w:bCs/>
              </w:rPr>
            </w:pPr>
            <w:r>
              <w:rPr>
                <w:b/>
                <w:bCs/>
              </w:rPr>
              <w:t>25124</w:t>
            </w:r>
          </w:p>
        </w:tc>
        <w:tc>
          <w:tcPr>
            <w:tcW w:w="1181" w:type="dxa"/>
            <w:vMerge/>
            <w:tcBorders>
              <w:top w:val="single" w:sz="4" w:space="0" w:color="auto"/>
              <w:left w:val="single" w:sz="4" w:space="0" w:color="auto"/>
              <w:bottom w:val="single" w:sz="4" w:space="0" w:color="auto"/>
              <w:right w:val="single" w:sz="4" w:space="0" w:color="auto"/>
            </w:tcBorders>
            <w:vAlign w:val="center"/>
          </w:tcPr>
          <w:p w:rsidR="001B7421" w:rsidRDefault="001B7421" w:rsidP="003C7DB0">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1B7421" w:rsidRDefault="001B7421" w:rsidP="003C7DB0">
            <w:pPr>
              <w:jc w:val="center"/>
            </w:pPr>
            <w:r>
              <w:t>Цр</w:t>
            </w:r>
          </w:p>
        </w:tc>
        <w:tc>
          <w:tcPr>
            <w:tcW w:w="2410" w:type="dxa"/>
            <w:tcBorders>
              <w:top w:val="single" w:sz="4" w:space="0" w:color="auto"/>
              <w:left w:val="single" w:sz="4" w:space="0" w:color="auto"/>
              <w:bottom w:val="single" w:sz="4" w:space="0" w:color="auto"/>
              <w:right w:val="nil"/>
            </w:tcBorders>
            <w:vAlign w:val="center"/>
          </w:tcPr>
          <w:p w:rsidR="001B7421" w:rsidRDefault="001B7421" w:rsidP="003C7DB0">
            <w:r>
              <w:t>Техн. дървесина от дърва</w:t>
            </w:r>
          </w:p>
        </w:tc>
        <w:tc>
          <w:tcPr>
            <w:tcW w:w="708" w:type="dxa"/>
            <w:tcBorders>
              <w:top w:val="single" w:sz="4" w:space="0" w:color="auto"/>
              <w:left w:val="single" w:sz="4" w:space="0" w:color="auto"/>
              <w:bottom w:val="nil"/>
              <w:right w:val="single" w:sz="4" w:space="0" w:color="auto"/>
            </w:tcBorders>
          </w:tcPr>
          <w:p w:rsidR="001B7421" w:rsidRDefault="001B7421" w:rsidP="003C7DB0">
            <w:pPr>
              <w:jc w:val="center"/>
            </w:pPr>
            <w:r>
              <w:t>17</w:t>
            </w:r>
          </w:p>
        </w:tc>
        <w:tc>
          <w:tcPr>
            <w:tcW w:w="749" w:type="dxa"/>
            <w:tcBorders>
              <w:top w:val="single" w:sz="4" w:space="0" w:color="auto"/>
              <w:left w:val="single" w:sz="4" w:space="0" w:color="auto"/>
              <w:bottom w:val="nil"/>
              <w:right w:val="single" w:sz="4" w:space="0" w:color="auto"/>
            </w:tcBorders>
            <w:vAlign w:val="center"/>
          </w:tcPr>
          <w:p w:rsidR="001B7421" w:rsidRDefault="001B7421" w:rsidP="003C7DB0">
            <w:pPr>
              <w:jc w:val="center"/>
            </w:pPr>
            <w:r>
              <w:t>29</w:t>
            </w:r>
          </w:p>
        </w:tc>
        <w:tc>
          <w:tcPr>
            <w:tcW w:w="1071"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pPr>
            <w:r>
              <w:t>30,00</w:t>
            </w:r>
          </w:p>
        </w:tc>
        <w:tc>
          <w:tcPr>
            <w:tcW w:w="1134"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right"/>
            </w:pPr>
            <w:r>
              <w:t>870,00</w:t>
            </w:r>
          </w:p>
        </w:tc>
      </w:tr>
      <w:tr w:rsidR="001B7421" w:rsidTr="003C7DB0">
        <w:trPr>
          <w:trHeight w:val="261"/>
        </w:trPr>
        <w:tc>
          <w:tcPr>
            <w:tcW w:w="946" w:type="dxa"/>
            <w:tcBorders>
              <w:top w:val="nil"/>
              <w:left w:val="single" w:sz="4" w:space="0" w:color="auto"/>
              <w:bottom w:val="nil"/>
              <w:right w:val="single" w:sz="4" w:space="0" w:color="auto"/>
            </w:tcBorders>
            <w:noWrap/>
            <w:vAlign w:val="center"/>
          </w:tcPr>
          <w:p w:rsidR="001B7421" w:rsidRDefault="001B7421" w:rsidP="003C7DB0">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1B7421" w:rsidRDefault="001B7421" w:rsidP="003C7DB0">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1B7421" w:rsidRDefault="001B7421" w:rsidP="003C7DB0">
            <w:pPr>
              <w:jc w:val="center"/>
            </w:pPr>
            <w:r>
              <w:t>Гбр</w:t>
            </w:r>
          </w:p>
        </w:tc>
        <w:tc>
          <w:tcPr>
            <w:tcW w:w="2410" w:type="dxa"/>
            <w:tcBorders>
              <w:top w:val="single" w:sz="4" w:space="0" w:color="auto"/>
              <w:left w:val="single" w:sz="4" w:space="0" w:color="auto"/>
              <w:bottom w:val="single" w:sz="4" w:space="0" w:color="auto"/>
              <w:right w:val="nil"/>
            </w:tcBorders>
            <w:vAlign w:val="center"/>
          </w:tcPr>
          <w:p w:rsidR="001B7421" w:rsidRDefault="001B7421" w:rsidP="003C7DB0">
            <w:r>
              <w:t>Техн. дървесина от дърва</w:t>
            </w:r>
          </w:p>
        </w:tc>
        <w:tc>
          <w:tcPr>
            <w:tcW w:w="708" w:type="dxa"/>
            <w:tcBorders>
              <w:top w:val="single" w:sz="4" w:space="0" w:color="auto"/>
              <w:left w:val="single" w:sz="4" w:space="0" w:color="auto"/>
              <w:bottom w:val="nil"/>
              <w:right w:val="single" w:sz="4" w:space="0" w:color="auto"/>
            </w:tcBorders>
          </w:tcPr>
          <w:p w:rsidR="001B7421" w:rsidRDefault="001B7421" w:rsidP="003C7DB0">
            <w:pPr>
              <w:jc w:val="center"/>
            </w:pPr>
            <w:r>
              <w:t>15</w:t>
            </w:r>
          </w:p>
        </w:tc>
        <w:tc>
          <w:tcPr>
            <w:tcW w:w="749" w:type="dxa"/>
            <w:tcBorders>
              <w:top w:val="single" w:sz="4" w:space="0" w:color="auto"/>
              <w:left w:val="single" w:sz="4" w:space="0" w:color="auto"/>
              <w:bottom w:val="nil"/>
              <w:right w:val="single" w:sz="4" w:space="0" w:color="auto"/>
            </w:tcBorders>
            <w:vAlign w:val="center"/>
          </w:tcPr>
          <w:p w:rsidR="001B7421" w:rsidRDefault="001B7421" w:rsidP="003C7DB0">
            <w:pPr>
              <w:jc w:val="center"/>
            </w:pPr>
            <w:r>
              <w:t>25</w:t>
            </w:r>
          </w:p>
        </w:tc>
        <w:tc>
          <w:tcPr>
            <w:tcW w:w="1071"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pPr>
            <w:r>
              <w:t>30,00</w:t>
            </w:r>
          </w:p>
        </w:tc>
        <w:tc>
          <w:tcPr>
            <w:tcW w:w="1134"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right"/>
            </w:pPr>
            <w:r>
              <w:t>750,00</w:t>
            </w:r>
          </w:p>
        </w:tc>
      </w:tr>
      <w:tr w:rsidR="001B7421" w:rsidTr="003C7DB0">
        <w:trPr>
          <w:trHeight w:val="261"/>
        </w:trPr>
        <w:tc>
          <w:tcPr>
            <w:tcW w:w="946" w:type="dxa"/>
            <w:tcBorders>
              <w:top w:val="nil"/>
              <w:left w:val="single" w:sz="4" w:space="0" w:color="auto"/>
              <w:bottom w:val="nil"/>
              <w:right w:val="single" w:sz="4" w:space="0" w:color="auto"/>
            </w:tcBorders>
            <w:noWrap/>
            <w:vAlign w:val="center"/>
          </w:tcPr>
          <w:p w:rsidR="001B7421" w:rsidRDefault="001B7421" w:rsidP="003C7DB0">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jc w:val="center"/>
            </w:pPr>
            <w:r>
              <w:t>Здб</w:t>
            </w:r>
          </w:p>
        </w:tc>
        <w:tc>
          <w:tcPr>
            <w:tcW w:w="2410" w:type="dxa"/>
            <w:tcBorders>
              <w:top w:val="single" w:sz="4" w:space="0" w:color="auto"/>
              <w:left w:val="single" w:sz="4" w:space="0" w:color="auto"/>
              <w:bottom w:val="single" w:sz="4" w:space="0" w:color="auto"/>
              <w:right w:val="nil"/>
            </w:tcBorders>
            <w:vAlign w:val="center"/>
            <w:hideMark/>
          </w:tcPr>
          <w:p w:rsidR="001B7421" w:rsidRDefault="001B7421" w:rsidP="003C7DB0">
            <w:r>
              <w:t>Техн. дървесина от дърва</w:t>
            </w:r>
          </w:p>
        </w:tc>
        <w:tc>
          <w:tcPr>
            <w:tcW w:w="708" w:type="dxa"/>
            <w:tcBorders>
              <w:top w:val="single" w:sz="4" w:space="0" w:color="auto"/>
              <w:left w:val="single" w:sz="4" w:space="0" w:color="auto"/>
              <w:bottom w:val="nil"/>
              <w:right w:val="single" w:sz="4" w:space="0" w:color="auto"/>
            </w:tcBorders>
            <w:hideMark/>
          </w:tcPr>
          <w:p w:rsidR="001B7421" w:rsidRDefault="001B7421" w:rsidP="003C7DB0">
            <w:pPr>
              <w:jc w:val="center"/>
            </w:pPr>
            <w:r>
              <w:t>7</w:t>
            </w:r>
          </w:p>
        </w:tc>
        <w:tc>
          <w:tcPr>
            <w:tcW w:w="749" w:type="dxa"/>
            <w:tcBorders>
              <w:top w:val="single" w:sz="4" w:space="0" w:color="auto"/>
              <w:left w:val="single" w:sz="4" w:space="0" w:color="auto"/>
              <w:bottom w:val="nil"/>
              <w:right w:val="single" w:sz="4" w:space="0" w:color="auto"/>
            </w:tcBorders>
            <w:vAlign w:val="center"/>
            <w:hideMark/>
          </w:tcPr>
          <w:p w:rsidR="001B7421" w:rsidRDefault="001B7421" w:rsidP="003C7DB0">
            <w:pPr>
              <w:jc w:val="center"/>
            </w:pPr>
            <w:r>
              <w:t>12</w:t>
            </w:r>
          </w:p>
        </w:tc>
        <w:tc>
          <w:tcPr>
            <w:tcW w:w="1071"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center"/>
            </w:pPr>
            <w:r>
              <w:t>30,00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right"/>
            </w:pPr>
            <w:r>
              <w:t>360,00</w:t>
            </w:r>
          </w:p>
        </w:tc>
      </w:tr>
      <w:tr w:rsidR="001B7421" w:rsidTr="003C7DB0">
        <w:trPr>
          <w:trHeight w:val="261"/>
        </w:trPr>
        <w:tc>
          <w:tcPr>
            <w:tcW w:w="946" w:type="dxa"/>
            <w:tcBorders>
              <w:top w:val="nil"/>
              <w:left w:val="single" w:sz="4" w:space="0" w:color="auto"/>
              <w:bottom w:val="nil"/>
              <w:right w:val="single" w:sz="4" w:space="0" w:color="auto"/>
            </w:tcBorders>
            <w:noWrap/>
            <w:vAlign w:val="center"/>
          </w:tcPr>
          <w:p w:rsidR="001B7421" w:rsidRDefault="001B7421" w:rsidP="003C7DB0">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jc w:val="center"/>
            </w:pPr>
            <w:r>
              <w:t>Цр</w:t>
            </w:r>
          </w:p>
        </w:tc>
        <w:tc>
          <w:tcPr>
            <w:tcW w:w="2410" w:type="dxa"/>
            <w:tcBorders>
              <w:top w:val="single" w:sz="4" w:space="0" w:color="auto"/>
              <w:left w:val="single" w:sz="4" w:space="0" w:color="auto"/>
              <w:bottom w:val="single" w:sz="4" w:space="0" w:color="auto"/>
              <w:right w:val="nil"/>
            </w:tcBorders>
            <w:vAlign w:val="center"/>
            <w:hideMark/>
          </w:tcPr>
          <w:p w:rsidR="001B7421" w:rsidRDefault="001B7421" w:rsidP="003C7DB0">
            <w:r>
              <w:t>Дърва за огрев</w:t>
            </w:r>
          </w:p>
        </w:tc>
        <w:tc>
          <w:tcPr>
            <w:tcW w:w="708" w:type="dxa"/>
            <w:tcBorders>
              <w:top w:val="single" w:sz="4" w:space="0" w:color="auto"/>
              <w:left w:val="single" w:sz="4" w:space="0" w:color="auto"/>
              <w:bottom w:val="nil"/>
              <w:right w:val="single" w:sz="4" w:space="0" w:color="auto"/>
            </w:tcBorders>
            <w:hideMark/>
          </w:tcPr>
          <w:p w:rsidR="001B7421" w:rsidRDefault="001B7421" w:rsidP="003C7DB0">
            <w:pPr>
              <w:jc w:val="center"/>
            </w:pPr>
            <w:r>
              <w:t>70</w:t>
            </w:r>
          </w:p>
        </w:tc>
        <w:tc>
          <w:tcPr>
            <w:tcW w:w="749" w:type="dxa"/>
            <w:tcBorders>
              <w:top w:val="single" w:sz="4" w:space="0" w:color="auto"/>
              <w:left w:val="single" w:sz="4" w:space="0" w:color="auto"/>
              <w:bottom w:val="nil"/>
              <w:right w:val="single" w:sz="4" w:space="0" w:color="auto"/>
            </w:tcBorders>
            <w:vAlign w:val="center"/>
            <w:hideMark/>
          </w:tcPr>
          <w:p w:rsidR="001B7421" w:rsidRDefault="001B7421" w:rsidP="003C7DB0">
            <w:pPr>
              <w:jc w:val="center"/>
            </w:pPr>
            <w:r>
              <w:t>127</w:t>
            </w:r>
          </w:p>
        </w:tc>
        <w:tc>
          <w:tcPr>
            <w:tcW w:w="1071"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center"/>
            </w:pPr>
            <w:r>
              <w:t>30,00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right"/>
            </w:pPr>
            <w:r>
              <w:t>3810,00</w:t>
            </w:r>
          </w:p>
        </w:tc>
      </w:tr>
      <w:tr w:rsidR="001B7421" w:rsidTr="003C7DB0">
        <w:trPr>
          <w:trHeight w:val="261"/>
        </w:trPr>
        <w:tc>
          <w:tcPr>
            <w:tcW w:w="946" w:type="dxa"/>
            <w:vMerge w:val="restart"/>
            <w:tcBorders>
              <w:top w:val="nil"/>
              <w:left w:val="single" w:sz="4" w:space="0" w:color="auto"/>
              <w:bottom w:val="single" w:sz="4" w:space="0" w:color="auto"/>
              <w:right w:val="single" w:sz="4" w:space="0" w:color="auto"/>
            </w:tcBorders>
            <w:noWrap/>
            <w:vAlign w:val="center"/>
            <w:hideMark/>
          </w:tcPr>
          <w:p w:rsidR="001B7421" w:rsidRPr="00F805B9" w:rsidRDefault="001B7421" w:rsidP="003C7DB0">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jc w:val="center"/>
            </w:pPr>
            <w:r>
              <w:t>Гбр</w:t>
            </w:r>
          </w:p>
        </w:tc>
        <w:tc>
          <w:tcPr>
            <w:tcW w:w="2410" w:type="dxa"/>
            <w:tcBorders>
              <w:top w:val="single" w:sz="4" w:space="0" w:color="auto"/>
              <w:left w:val="single" w:sz="4" w:space="0" w:color="auto"/>
              <w:bottom w:val="single" w:sz="4" w:space="0" w:color="auto"/>
              <w:right w:val="nil"/>
            </w:tcBorders>
            <w:vAlign w:val="center"/>
            <w:hideMark/>
          </w:tcPr>
          <w:p w:rsidR="001B7421" w:rsidRDefault="001B7421" w:rsidP="003C7DB0">
            <w:r>
              <w:t>Дърва за огрев</w:t>
            </w:r>
          </w:p>
        </w:tc>
        <w:tc>
          <w:tcPr>
            <w:tcW w:w="708" w:type="dxa"/>
            <w:tcBorders>
              <w:top w:val="single" w:sz="4" w:space="0" w:color="auto"/>
              <w:left w:val="single" w:sz="4" w:space="0" w:color="auto"/>
              <w:bottom w:val="single" w:sz="4" w:space="0" w:color="auto"/>
              <w:right w:val="single" w:sz="4" w:space="0" w:color="auto"/>
            </w:tcBorders>
            <w:hideMark/>
          </w:tcPr>
          <w:p w:rsidR="001B7421" w:rsidRDefault="001B7421" w:rsidP="003C7DB0">
            <w:pPr>
              <w:jc w:val="center"/>
            </w:pPr>
            <w:r>
              <w:t>47</w:t>
            </w:r>
          </w:p>
        </w:tc>
        <w:tc>
          <w:tcPr>
            <w:tcW w:w="749" w:type="dxa"/>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jc w:val="center"/>
            </w:pPr>
            <w:r>
              <w:t>86</w:t>
            </w:r>
          </w:p>
        </w:tc>
        <w:tc>
          <w:tcPr>
            <w:tcW w:w="1071"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center"/>
              <w:rPr>
                <w:lang w:val="en-US"/>
              </w:rPr>
            </w:pPr>
            <w:r>
              <w:t>30,00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right"/>
            </w:pPr>
            <w:r>
              <w:t>2580,00</w:t>
            </w:r>
          </w:p>
        </w:tc>
      </w:tr>
      <w:tr w:rsidR="001B7421" w:rsidTr="003C7DB0">
        <w:trPr>
          <w:trHeight w:val="261"/>
        </w:trPr>
        <w:tc>
          <w:tcPr>
            <w:tcW w:w="946" w:type="dxa"/>
            <w:vMerge/>
            <w:tcBorders>
              <w:top w:val="nil"/>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jc w:val="center"/>
            </w:pPr>
            <w:r>
              <w:t>Здб</w:t>
            </w:r>
          </w:p>
        </w:tc>
        <w:tc>
          <w:tcPr>
            <w:tcW w:w="2410" w:type="dxa"/>
            <w:tcBorders>
              <w:top w:val="single" w:sz="4" w:space="0" w:color="auto"/>
              <w:left w:val="single" w:sz="4" w:space="0" w:color="auto"/>
              <w:bottom w:val="single" w:sz="4" w:space="0" w:color="auto"/>
              <w:right w:val="nil"/>
            </w:tcBorders>
            <w:vAlign w:val="center"/>
            <w:hideMark/>
          </w:tcPr>
          <w:p w:rsidR="001B7421" w:rsidRDefault="001B7421" w:rsidP="003C7DB0">
            <w:r>
              <w:t>Дърва за огрев</w:t>
            </w:r>
          </w:p>
        </w:tc>
        <w:tc>
          <w:tcPr>
            <w:tcW w:w="708" w:type="dxa"/>
            <w:tcBorders>
              <w:top w:val="single" w:sz="4" w:space="0" w:color="auto"/>
              <w:left w:val="single" w:sz="4" w:space="0" w:color="auto"/>
              <w:bottom w:val="single" w:sz="4" w:space="0" w:color="auto"/>
              <w:right w:val="single" w:sz="4" w:space="0" w:color="auto"/>
            </w:tcBorders>
            <w:hideMark/>
          </w:tcPr>
          <w:p w:rsidR="001B7421" w:rsidRDefault="001B7421" w:rsidP="003C7DB0">
            <w:pPr>
              <w:jc w:val="center"/>
            </w:pPr>
            <w:r>
              <w:t>33</w:t>
            </w:r>
          </w:p>
        </w:tc>
        <w:tc>
          <w:tcPr>
            <w:tcW w:w="749" w:type="dxa"/>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jc w:val="center"/>
            </w:pPr>
            <w:r>
              <w:t>60</w:t>
            </w:r>
          </w:p>
        </w:tc>
        <w:tc>
          <w:tcPr>
            <w:tcW w:w="1071"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center"/>
            </w:pPr>
            <w:r>
              <w:t>30,00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right"/>
            </w:pPr>
            <w:r>
              <w:t>1800,00</w:t>
            </w:r>
          </w:p>
        </w:tc>
      </w:tr>
      <w:tr w:rsidR="001B7421" w:rsidTr="003C7DB0">
        <w:trPr>
          <w:trHeight w:val="261"/>
        </w:trPr>
        <w:tc>
          <w:tcPr>
            <w:tcW w:w="946" w:type="dxa"/>
            <w:vMerge/>
            <w:tcBorders>
              <w:top w:val="nil"/>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jc w:val="center"/>
            </w:pPr>
            <w:r>
              <w:t>Мжд</w:t>
            </w:r>
          </w:p>
        </w:tc>
        <w:tc>
          <w:tcPr>
            <w:tcW w:w="2410" w:type="dxa"/>
            <w:tcBorders>
              <w:top w:val="single" w:sz="4" w:space="0" w:color="auto"/>
              <w:left w:val="single" w:sz="4" w:space="0" w:color="auto"/>
              <w:bottom w:val="single" w:sz="4" w:space="0" w:color="auto"/>
              <w:right w:val="nil"/>
            </w:tcBorders>
            <w:vAlign w:val="center"/>
            <w:hideMark/>
          </w:tcPr>
          <w:p w:rsidR="001B7421" w:rsidRDefault="001B7421" w:rsidP="003C7DB0">
            <w:r>
              <w:t>Дърва за огрев</w:t>
            </w:r>
          </w:p>
        </w:tc>
        <w:tc>
          <w:tcPr>
            <w:tcW w:w="708" w:type="dxa"/>
            <w:tcBorders>
              <w:top w:val="single" w:sz="4" w:space="0" w:color="auto"/>
              <w:left w:val="single" w:sz="4" w:space="0" w:color="auto"/>
              <w:bottom w:val="nil"/>
              <w:right w:val="single" w:sz="4" w:space="0" w:color="auto"/>
            </w:tcBorders>
            <w:hideMark/>
          </w:tcPr>
          <w:p w:rsidR="001B7421" w:rsidRDefault="001B7421" w:rsidP="003C7DB0">
            <w:pPr>
              <w:jc w:val="center"/>
            </w:pPr>
            <w:r>
              <w:t>20</w:t>
            </w:r>
          </w:p>
        </w:tc>
        <w:tc>
          <w:tcPr>
            <w:tcW w:w="749" w:type="dxa"/>
            <w:tcBorders>
              <w:top w:val="single" w:sz="4" w:space="0" w:color="auto"/>
              <w:left w:val="single" w:sz="4" w:space="0" w:color="auto"/>
              <w:bottom w:val="nil"/>
              <w:right w:val="single" w:sz="4" w:space="0" w:color="auto"/>
            </w:tcBorders>
            <w:vAlign w:val="center"/>
            <w:hideMark/>
          </w:tcPr>
          <w:p w:rsidR="001B7421" w:rsidRDefault="001B7421" w:rsidP="003C7DB0">
            <w:pPr>
              <w:jc w:val="center"/>
            </w:pPr>
            <w:r>
              <w:t>36</w:t>
            </w:r>
          </w:p>
        </w:tc>
        <w:tc>
          <w:tcPr>
            <w:tcW w:w="1071"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center"/>
              <w:rPr>
                <w:lang w:val="en-US"/>
              </w:rPr>
            </w:pPr>
            <w:r>
              <w:t>30,00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right"/>
            </w:pPr>
            <w:r>
              <w:t>1080,00</w:t>
            </w:r>
          </w:p>
        </w:tc>
      </w:tr>
      <w:tr w:rsidR="001B7421" w:rsidTr="003C7DB0">
        <w:trPr>
          <w:trHeight w:val="301"/>
        </w:trPr>
        <w:tc>
          <w:tcPr>
            <w:tcW w:w="946" w:type="dxa"/>
            <w:vMerge/>
            <w:tcBorders>
              <w:top w:val="nil"/>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1890" w:type="dxa"/>
            <w:gridSpan w:val="2"/>
            <w:tcBorders>
              <w:top w:val="nil"/>
              <w:left w:val="single" w:sz="4" w:space="0" w:color="auto"/>
              <w:bottom w:val="single" w:sz="4" w:space="0" w:color="auto"/>
              <w:right w:val="single" w:sz="4" w:space="0" w:color="auto"/>
            </w:tcBorders>
            <w:noWrap/>
            <w:vAlign w:val="center"/>
            <w:hideMark/>
          </w:tcPr>
          <w:p w:rsidR="001B7421" w:rsidRDefault="001B7421" w:rsidP="003C7DB0">
            <w:pPr>
              <w:jc w:val="center"/>
              <w:rPr>
                <w:b/>
              </w:rP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1B7421" w:rsidRDefault="001B7421" w:rsidP="003C7DB0"/>
        </w:tc>
        <w:tc>
          <w:tcPr>
            <w:tcW w:w="708" w:type="dxa"/>
            <w:tcBorders>
              <w:top w:val="single" w:sz="8" w:space="0" w:color="auto"/>
              <w:left w:val="single" w:sz="4" w:space="0" w:color="auto"/>
              <w:bottom w:val="single" w:sz="4" w:space="0" w:color="auto"/>
              <w:right w:val="single" w:sz="4" w:space="0" w:color="auto"/>
            </w:tcBorders>
            <w:hideMark/>
          </w:tcPr>
          <w:p w:rsidR="001B7421" w:rsidRDefault="001B7421" w:rsidP="003C7DB0">
            <w:pPr>
              <w:jc w:val="center"/>
              <w:rPr>
                <w:b/>
              </w:rPr>
            </w:pPr>
            <w:r>
              <w:rPr>
                <w:b/>
              </w:rPr>
              <w:t>230</w:t>
            </w:r>
          </w:p>
        </w:tc>
        <w:tc>
          <w:tcPr>
            <w:tcW w:w="749" w:type="dxa"/>
            <w:tcBorders>
              <w:top w:val="single" w:sz="8" w:space="0" w:color="auto"/>
              <w:left w:val="single" w:sz="4" w:space="0" w:color="auto"/>
              <w:bottom w:val="single" w:sz="4" w:space="0" w:color="auto"/>
              <w:right w:val="single" w:sz="4" w:space="0" w:color="auto"/>
            </w:tcBorders>
            <w:vAlign w:val="center"/>
            <w:hideMark/>
          </w:tcPr>
          <w:p w:rsidR="001B7421" w:rsidRDefault="001B7421" w:rsidP="003C7DB0">
            <w:pPr>
              <w:jc w:val="center"/>
              <w:rPr>
                <w:b/>
              </w:rPr>
            </w:pPr>
            <w:r>
              <w:rPr>
                <w:b/>
              </w:rPr>
              <w:t>409</w:t>
            </w:r>
          </w:p>
        </w:tc>
        <w:tc>
          <w:tcPr>
            <w:tcW w:w="1071"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right"/>
              <w:rPr>
                <w:b/>
                <w:lang w:val="en-US"/>
              </w:rPr>
            </w:pPr>
            <w:r>
              <w:rPr>
                <w:b/>
              </w:rPr>
              <w:t>12270</w:t>
            </w:r>
            <w:r>
              <w:rPr>
                <w:b/>
                <w:lang w:val="en-US"/>
              </w:rPr>
              <w:t>,00</w:t>
            </w:r>
          </w:p>
        </w:tc>
      </w:tr>
      <w:tr w:rsidR="001B7421" w:rsidTr="003C7DB0">
        <w:trPr>
          <w:trHeight w:val="117"/>
        </w:trPr>
        <w:tc>
          <w:tcPr>
            <w:tcW w:w="946" w:type="dxa"/>
            <w:vMerge/>
            <w:tcBorders>
              <w:top w:val="nil"/>
              <w:left w:val="single" w:sz="4" w:space="0" w:color="auto"/>
              <w:bottom w:val="single" w:sz="4" w:space="0" w:color="auto"/>
              <w:right w:val="single" w:sz="4" w:space="0" w:color="auto"/>
            </w:tcBorders>
            <w:vAlign w:val="center"/>
          </w:tcPr>
          <w:p w:rsidR="001B7421" w:rsidRDefault="001B7421" w:rsidP="003C7DB0">
            <w:pPr>
              <w:rPr>
                <w:b/>
                <w:bCs/>
              </w:rPr>
            </w:pPr>
          </w:p>
        </w:tc>
        <w:tc>
          <w:tcPr>
            <w:tcW w:w="1181" w:type="dxa"/>
            <w:vMerge w:val="restart"/>
            <w:tcBorders>
              <w:top w:val="single" w:sz="4" w:space="0" w:color="auto"/>
              <w:left w:val="single" w:sz="4" w:space="0" w:color="auto"/>
              <w:right w:val="single" w:sz="4" w:space="0" w:color="auto"/>
            </w:tcBorders>
            <w:noWrap/>
            <w:vAlign w:val="center"/>
          </w:tcPr>
          <w:p w:rsidR="001B7421" w:rsidRDefault="001B7421" w:rsidP="003C7DB0">
            <w:pPr>
              <w:jc w:val="center"/>
              <w:rPr>
                <w:b/>
                <w:bCs/>
              </w:rPr>
            </w:pPr>
            <w:r>
              <w:rPr>
                <w:b/>
                <w:bCs/>
              </w:rPr>
              <w:t>370 д</w:t>
            </w:r>
          </w:p>
        </w:tc>
        <w:tc>
          <w:tcPr>
            <w:tcW w:w="709" w:type="dxa"/>
            <w:tcBorders>
              <w:top w:val="single" w:sz="4" w:space="0" w:color="auto"/>
              <w:left w:val="single" w:sz="4" w:space="0" w:color="auto"/>
              <w:bottom w:val="single" w:sz="4" w:space="0" w:color="auto"/>
              <w:right w:val="single" w:sz="4" w:space="0" w:color="auto"/>
            </w:tcBorders>
            <w:vAlign w:val="center"/>
          </w:tcPr>
          <w:p w:rsidR="001B7421" w:rsidRDefault="001B7421" w:rsidP="003C7DB0">
            <w:pPr>
              <w:jc w:val="center"/>
            </w:pPr>
            <w:r>
              <w:t>Цр</w:t>
            </w:r>
          </w:p>
        </w:tc>
        <w:tc>
          <w:tcPr>
            <w:tcW w:w="2410" w:type="dxa"/>
            <w:tcBorders>
              <w:top w:val="single" w:sz="4" w:space="0" w:color="auto"/>
              <w:left w:val="single" w:sz="4" w:space="0" w:color="auto"/>
              <w:bottom w:val="single" w:sz="4" w:space="0" w:color="auto"/>
              <w:right w:val="nil"/>
            </w:tcBorders>
            <w:vAlign w:val="center"/>
          </w:tcPr>
          <w:p w:rsidR="001B7421" w:rsidRDefault="001B7421" w:rsidP="003C7DB0">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1B7421" w:rsidRDefault="001B7421" w:rsidP="003C7DB0">
            <w:pPr>
              <w:jc w:val="center"/>
            </w:pPr>
            <w:r>
              <w:t>6</w:t>
            </w:r>
          </w:p>
        </w:tc>
        <w:tc>
          <w:tcPr>
            <w:tcW w:w="749" w:type="dxa"/>
            <w:tcBorders>
              <w:top w:val="single" w:sz="4" w:space="0" w:color="auto"/>
              <w:left w:val="single" w:sz="4" w:space="0" w:color="auto"/>
              <w:bottom w:val="single" w:sz="8" w:space="0" w:color="auto"/>
              <w:right w:val="nil"/>
            </w:tcBorders>
            <w:vAlign w:val="center"/>
          </w:tcPr>
          <w:p w:rsidR="001B7421" w:rsidRDefault="001B7421" w:rsidP="003C7DB0">
            <w:pPr>
              <w:jc w:val="center"/>
            </w:pPr>
            <w:r>
              <w:t>10</w:t>
            </w:r>
          </w:p>
        </w:tc>
        <w:tc>
          <w:tcPr>
            <w:tcW w:w="1071" w:type="dxa"/>
            <w:tcBorders>
              <w:top w:val="single" w:sz="4" w:space="0" w:color="auto"/>
              <w:left w:val="single" w:sz="8" w:space="0" w:color="auto"/>
              <w:bottom w:val="single" w:sz="4" w:space="0" w:color="auto"/>
              <w:right w:val="single" w:sz="8" w:space="0" w:color="auto"/>
            </w:tcBorders>
            <w:noWrap/>
            <w:vAlign w:val="center"/>
          </w:tcPr>
          <w:p w:rsidR="001B7421" w:rsidRDefault="001B7421" w:rsidP="003C7DB0">
            <w:pPr>
              <w:jc w:val="right"/>
            </w:pPr>
          </w:p>
        </w:tc>
        <w:tc>
          <w:tcPr>
            <w:tcW w:w="1157" w:type="dxa"/>
            <w:tcBorders>
              <w:top w:val="single" w:sz="4" w:space="0" w:color="auto"/>
              <w:left w:val="nil"/>
              <w:bottom w:val="single" w:sz="4" w:space="0" w:color="auto"/>
              <w:right w:val="single" w:sz="8" w:space="0" w:color="auto"/>
            </w:tcBorders>
            <w:noWrap/>
            <w:vAlign w:val="center"/>
          </w:tcPr>
          <w:p w:rsidR="001B7421" w:rsidRDefault="001B7421" w:rsidP="003C7DB0">
            <w:pPr>
              <w:jc w:val="center"/>
            </w:pPr>
            <w:r>
              <w:t>30,00</w:t>
            </w:r>
          </w:p>
        </w:tc>
        <w:tc>
          <w:tcPr>
            <w:tcW w:w="1134" w:type="dxa"/>
            <w:tcBorders>
              <w:top w:val="single" w:sz="4" w:space="0" w:color="auto"/>
              <w:left w:val="nil"/>
              <w:bottom w:val="single" w:sz="4" w:space="0" w:color="auto"/>
              <w:right w:val="single" w:sz="4" w:space="0" w:color="auto"/>
            </w:tcBorders>
            <w:noWrap/>
            <w:vAlign w:val="center"/>
          </w:tcPr>
          <w:p w:rsidR="001B7421" w:rsidRDefault="001B7421" w:rsidP="003C7DB0">
            <w:pPr>
              <w:jc w:val="right"/>
            </w:pPr>
            <w:r>
              <w:t>300,00</w:t>
            </w:r>
          </w:p>
        </w:tc>
      </w:tr>
      <w:tr w:rsidR="001B7421" w:rsidTr="003C7DB0">
        <w:trPr>
          <w:trHeight w:val="117"/>
        </w:trPr>
        <w:tc>
          <w:tcPr>
            <w:tcW w:w="946" w:type="dxa"/>
            <w:vMerge/>
            <w:tcBorders>
              <w:top w:val="nil"/>
              <w:left w:val="single" w:sz="4" w:space="0" w:color="auto"/>
              <w:bottom w:val="single" w:sz="4" w:space="0" w:color="auto"/>
              <w:right w:val="single" w:sz="4" w:space="0" w:color="auto"/>
            </w:tcBorders>
            <w:vAlign w:val="center"/>
          </w:tcPr>
          <w:p w:rsidR="001B7421" w:rsidRDefault="001B7421" w:rsidP="003C7DB0">
            <w:pPr>
              <w:rPr>
                <w:b/>
                <w:bCs/>
              </w:rPr>
            </w:pPr>
          </w:p>
        </w:tc>
        <w:tc>
          <w:tcPr>
            <w:tcW w:w="1181" w:type="dxa"/>
            <w:vMerge/>
            <w:tcBorders>
              <w:left w:val="single" w:sz="4" w:space="0" w:color="auto"/>
              <w:right w:val="single" w:sz="4" w:space="0" w:color="auto"/>
            </w:tcBorders>
            <w:noWrap/>
            <w:vAlign w:val="center"/>
          </w:tcPr>
          <w:p w:rsidR="001B7421" w:rsidRDefault="001B7421" w:rsidP="003C7DB0">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1B7421" w:rsidRDefault="001B7421" w:rsidP="003C7DB0">
            <w:pPr>
              <w:jc w:val="center"/>
            </w:pPr>
            <w:r>
              <w:t>Здб</w:t>
            </w:r>
          </w:p>
        </w:tc>
        <w:tc>
          <w:tcPr>
            <w:tcW w:w="2410" w:type="dxa"/>
            <w:tcBorders>
              <w:top w:val="single" w:sz="4" w:space="0" w:color="auto"/>
              <w:left w:val="single" w:sz="4" w:space="0" w:color="auto"/>
              <w:bottom w:val="single" w:sz="4" w:space="0" w:color="auto"/>
              <w:right w:val="nil"/>
            </w:tcBorders>
            <w:vAlign w:val="center"/>
          </w:tcPr>
          <w:p w:rsidR="001B7421" w:rsidRDefault="001B7421" w:rsidP="003C7DB0">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1B7421" w:rsidRDefault="001B7421" w:rsidP="003C7DB0">
            <w:pPr>
              <w:jc w:val="center"/>
            </w:pPr>
            <w:r>
              <w:t>4</w:t>
            </w:r>
          </w:p>
        </w:tc>
        <w:tc>
          <w:tcPr>
            <w:tcW w:w="749" w:type="dxa"/>
            <w:tcBorders>
              <w:top w:val="single" w:sz="4" w:space="0" w:color="auto"/>
              <w:left w:val="single" w:sz="4" w:space="0" w:color="auto"/>
              <w:bottom w:val="single" w:sz="8" w:space="0" w:color="auto"/>
              <w:right w:val="nil"/>
            </w:tcBorders>
            <w:vAlign w:val="center"/>
          </w:tcPr>
          <w:p w:rsidR="001B7421" w:rsidRDefault="001B7421" w:rsidP="003C7DB0">
            <w:pPr>
              <w:jc w:val="center"/>
            </w:pPr>
            <w:r>
              <w:t>7</w:t>
            </w:r>
          </w:p>
        </w:tc>
        <w:tc>
          <w:tcPr>
            <w:tcW w:w="1071" w:type="dxa"/>
            <w:tcBorders>
              <w:top w:val="single" w:sz="4" w:space="0" w:color="auto"/>
              <w:left w:val="single" w:sz="8" w:space="0" w:color="auto"/>
              <w:bottom w:val="single" w:sz="4" w:space="0" w:color="auto"/>
              <w:right w:val="single" w:sz="8" w:space="0" w:color="auto"/>
            </w:tcBorders>
            <w:noWrap/>
            <w:vAlign w:val="center"/>
          </w:tcPr>
          <w:p w:rsidR="001B7421" w:rsidRDefault="001B7421" w:rsidP="003C7DB0">
            <w:pPr>
              <w:jc w:val="right"/>
            </w:pPr>
          </w:p>
        </w:tc>
        <w:tc>
          <w:tcPr>
            <w:tcW w:w="1157" w:type="dxa"/>
            <w:tcBorders>
              <w:top w:val="single" w:sz="4" w:space="0" w:color="auto"/>
              <w:left w:val="nil"/>
              <w:bottom w:val="single" w:sz="4" w:space="0" w:color="auto"/>
              <w:right w:val="single" w:sz="8" w:space="0" w:color="auto"/>
            </w:tcBorders>
            <w:noWrap/>
            <w:vAlign w:val="center"/>
          </w:tcPr>
          <w:p w:rsidR="001B7421" w:rsidRDefault="001B7421" w:rsidP="003C7DB0">
            <w:pPr>
              <w:jc w:val="center"/>
            </w:pPr>
            <w:r>
              <w:t>30,00</w:t>
            </w:r>
          </w:p>
        </w:tc>
        <w:tc>
          <w:tcPr>
            <w:tcW w:w="1134" w:type="dxa"/>
            <w:tcBorders>
              <w:top w:val="single" w:sz="4" w:space="0" w:color="auto"/>
              <w:left w:val="nil"/>
              <w:bottom w:val="single" w:sz="4" w:space="0" w:color="auto"/>
              <w:right w:val="single" w:sz="4" w:space="0" w:color="auto"/>
            </w:tcBorders>
            <w:noWrap/>
            <w:vAlign w:val="center"/>
          </w:tcPr>
          <w:p w:rsidR="001B7421" w:rsidRDefault="001B7421" w:rsidP="003C7DB0">
            <w:pPr>
              <w:jc w:val="right"/>
            </w:pPr>
            <w:r>
              <w:t>210,00</w:t>
            </w:r>
          </w:p>
        </w:tc>
      </w:tr>
      <w:tr w:rsidR="001B7421" w:rsidTr="003C7DB0">
        <w:trPr>
          <w:trHeight w:val="117"/>
        </w:trPr>
        <w:tc>
          <w:tcPr>
            <w:tcW w:w="946" w:type="dxa"/>
            <w:vMerge/>
            <w:tcBorders>
              <w:top w:val="nil"/>
              <w:left w:val="single" w:sz="4" w:space="0" w:color="auto"/>
              <w:bottom w:val="single" w:sz="4" w:space="0" w:color="auto"/>
              <w:right w:val="single" w:sz="4" w:space="0" w:color="auto"/>
            </w:tcBorders>
            <w:vAlign w:val="center"/>
          </w:tcPr>
          <w:p w:rsidR="001B7421" w:rsidRDefault="001B7421" w:rsidP="003C7DB0">
            <w:pPr>
              <w:rPr>
                <w:b/>
                <w:bCs/>
              </w:rPr>
            </w:pPr>
          </w:p>
        </w:tc>
        <w:tc>
          <w:tcPr>
            <w:tcW w:w="1181" w:type="dxa"/>
            <w:vMerge/>
            <w:tcBorders>
              <w:left w:val="single" w:sz="4" w:space="0" w:color="auto"/>
              <w:right w:val="single" w:sz="4" w:space="0" w:color="auto"/>
            </w:tcBorders>
            <w:noWrap/>
            <w:vAlign w:val="center"/>
          </w:tcPr>
          <w:p w:rsidR="001B7421" w:rsidRDefault="001B7421" w:rsidP="003C7DB0">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1B7421" w:rsidRDefault="001B7421" w:rsidP="003C7DB0">
            <w:pPr>
              <w:jc w:val="center"/>
            </w:pPr>
            <w:r>
              <w:t>Цр</w:t>
            </w:r>
          </w:p>
        </w:tc>
        <w:tc>
          <w:tcPr>
            <w:tcW w:w="2410" w:type="dxa"/>
            <w:tcBorders>
              <w:top w:val="single" w:sz="4" w:space="0" w:color="auto"/>
              <w:left w:val="single" w:sz="4" w:space="0" w:color="auto"/>
              <w:bottom w:val="single" w:sz="4" w:space="0" w:color="auto"/>
              <w:right w:val="nil"/>
            </w:tcBorders>
            <w:vAlign w:val="center"/>
          </w:tcPr>
          <w:p w:rsidR="001B7421" w:rsidRDefault="001B7421" w:rsidP="003C7DB0">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1B7421" w:rsidRDefault="001B7421" w:rsidP="003C7DB0">
            <w:pPr>
              <w:jc w:val="center"/>
            </w:pPr>
            <w:r>
              <w:t>3</w:t>
            </w:r>
          </w:p>
        </w:tc>
        <w:tc>
          <w:tcPr>
            <w:tcW w:w="749" w:type="dxa"/>
            <w:tcBorders>
              <w:top w:val="single" w:sz="4" w:space="0" w:color="auto"/>
              <w:left w:val="single" w:sz="4" w:space="0" w:color="auto"/>
              <w:bottom w:val="single" w:sz="8" w:space="0" w:color="auto"/>
              <w:right w:val="nil"/>
            </w:tcBorders>
            <w:vAlign w:val="center"/>
          </w:tcPr>
          <w:p w:rsidR="001B7421" w:rsidRDefault="001B7421" w:rsidP="003C7DB0">
            <w:pPr>
              <w:jc w:val="center"/>
            </w:pPr>
            <w:r>
              <w:t>5</w:t>
            </w:r>
          </w:p>
        </w:tc>
        <w:tc>
          <w:tcPr>
            <w:tcW w:w="1071" w:type="dxa"/>
            <w:tcBorders>
              <w:top w:val="single" w:sz="4" w:space="0" w:color="auto"/>
              <w:left w:val="single" w:sz="8" w:space="0" w:color="auto"/>
              <w:bottom w:val="single" w:sz="4" w:space="0" w:color="auto"/>
              <w:right w:val="single" w:sz="8" w:space="0" w:color="auto"/>
            </w:tcBorders>
            <w:noWrap/>
            <w:vAlign w:val="center"/>
          </w:tcPr>
          <w:p w:rsidR="001B7421" w:rsidRDefault="001B7421" w:rsidP="003C7DB0">
            <w:pPr>
              <w:jc w:val="right"/>
            </w:pPr>
          </w:p>
        </w:tc>
        <w:tc>
          <w:tcPr>
            <w:tcW w:w="1157" w:type="dxa"/>
            <w:tcBorders>
              <w:top w:val="single" w:sz="4" w:space="0" w:color="auto"/>
              <w:left w:val="nil"/>
              <w:bottom w:val="single" w:sz="4" w:space="0" w:color="auto"/>
              <w:right w:val="single" w:sz="8" w:space="0" w:color="auto"/>
            </w:tcBorders>
            <w:noWrap/>
            <w:vAlign w:val="center"/>
          </w:tcPr>
          <w:p w:rsidR="001B7421" w:rsidRDefault="001B7421" w:rsidP="003C7DB0">
            <w:pPr>
              <w:jc w:val="center"/>
            </w:pPr>
            <w:r>
              <w:t>30,00</w:t>
            </w:r>
          </w:p>
        </w:tc>
        <w:tc>
          <w:tcPr>
            <w:tcW w:w="1134" w:type="dxa"/>
            <w:tcBorders>
              <w:top w:val="single" w:sz="4" w:space="0" w:color="auto"/>
              <w:left w:val="nil"/>
              <w:bottom w:val="single" w:sz="4" w:space="0" w:color="auto"/>
              <w:right w:val="single" w:sz="4" w:space="0" w:color="auto"/>
            </w:tcBorders>
            <w:noWrap/>
            <w:vAlign w:val="center"/>
          </w:tcPr>
          <w:p w:rsidR="001B7421" w:rsidRDefault="001B7421" w:rsidP="003C7DB0">
            <w:pPr>
              <w:jc w:val="right"/>
            </w:pPr>
            <w:r>
              <w:t>150,00</w:t>
            </w:r>
          </w:p>
        </w:tc>
      </w:tr>
      <w:tr w:rsidR="001B7421" w:rsidTr="003C7DB0">
        <w:trPr>
          <w:trHeight w:val="117"/>
        </w:trPr>
        <w:tc>
          <w:tcPr>
            <w:tcW w:w="946" w:type="dxa"/>
            <w:vMerge/>
            <w:tcBorders>
              <w:top w:val="nil"/>
              <w:left w:val="single" w:sz="4" w:space="0" w:color="auto"/>
              <w:bottom w:val="single" w:sz="4" w:space="0" w:color="auto"/>
              <w:right w:val="single" w:sz="4" w:space="0" w:color="auto"/>
            </w:tcBorders>
            <w:vAlign w:val="center"/>
          </w:tcPr>
          <w:p w:rsidR="001B7421" w:rsidRDefault="001B7421" w:rsidP="003C7DB0">
            <w:pPr>
              <w:rPr>
                <w:b/>
                <w:bCs/>
              </w:rPr>
            </w:pPr>
          </w:p>
        </w:tc>
        <w:tc>
          <w:tcPr>
            <w:tcW w:w="1181" w:type="dxa"/>
            <w:vMerge/>
            <w:tcBorders>
              <w:left w:val="single" w:sz="4" w:space="0" w:color="auto"/>
              <w:right w:val="single" w:sz="4" w:space="0" w:color="auto"/>
            </w:tcBorders>
            <w:noWrap/>
            <w:vAlign w:val="center"/>
          </w:tcPr>
          <w:p w:rsidR="001B7421" w:rsidRDefault="001B7421" w:rsidP="003C7DB0">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1B7421" w:rsidRDefault="001B7421" w:rsidP="003C7DB0">
            <w:pPr>
              <w:jc w:val="center"/>
            </w:pPr>
            <w:r>
              <w:t>Здб</w:t>
            </w:r>
          </w:p>
        </w:tc>
        <w:tc>
          <w:tcPr>
            <w:tcW w:w="2410" w:type="dxa"/>
            <w:tcBorders>
              <w:top w:val="single" w:sz="4" w:space="0" w:color="auto"/>
              <w:left w:val="single" w:sz="4" w:space="0" w:color="auto"/>
              <w:bottom w:val="single" w:sz="4" w:space="0" w:color="auto"/>
              <w:right w:val="nil"/>
            </w:tcBorders>
            <w:vAlign w:val="center"/>
          </w:tcPr>
          <w:p w:rsidR="001B7421" w:rsidRDefault="001B7421" w:rsidP="003C7DB0">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1B7421" w:rsidRDefault="001B7421" w:rsidP="003C7DB0">
            <w:pPr>
              <w:jc w:val="center"/>
            </w:pPr>
            <w:r>
              <w:t>5</w:t>
            </w:r>
          </w:p>
        </w:tc>
        <w:tc>
          <w:tcPr>
            <w:tcW w:w="749" w:type="dxa"/>
            <w:tcBorders>
              <w:top w:val="single" w:sz="4" w:space="0" w:color="auto"/>
              <w:left w:val="single" w:sz="4" w:space="0" w:color="auto"/>
              <w:bottom w:val="single" w:sz="8" w:space="0" w:color="auto"/>
              <w:right w:val="nil"/>
            </w:tcBorders>
            <w:vAlign w:val="center"/>
          </w:tcPr>
          <w:p w:rsidR="001B7421" w:rsidRDefault="001B7421" w:rsidP="003C7DB0">
            <w:pPr>
              <w:jc w:val="center"/>
            </w:pPr>
            <w:r>
              <w:t>8</w:t>
            </w:r>
          </w:p>
        </w:tc>
        <w:tc>
          <w:tcPr>
            <w:tcW w:w="1071" w:type="dxa"/>
            <w:tcBorders>
              <w:top w:val="single" w:sz="4" w:space="0" w:color="auto"/>
              <w:left w:val="single" w:sz="8" w:space="0" w:color="auto"/>
              <w:bottom w:val="single" w:sz="4" w:space="0" w:color="auto"/>
              <w:right w:val="single" w:sz="8" w:space="0" w:color="auto"/>
            </w:tcBorders>
            <w:noWrap/>
            <w:vAlign w:val="center"/>
          </w:tcPr>
          <w:p w:rsidR="001B7421" w:rsidRDefault="001B7421" w:rsidP="003C7DB0">
            <w:pPr>
              <w:jc w:val="right"/>
            </w:pPr>
          </w:p>
        </w:tc>
        <w:tc>
          <w:tcPr>
            <w:tcW w:w="1157" w:type="dxa"/>
            <w:tcBorders>
              <w:top w:val="single" w:sz="4" w:space="0" w:color="auto"/>
              <w:left w:val="nil"/>
              <w:bottom w:val="single" w:sz="4" w:space="0" w:color="auto"/>
              <w:right w:val="single" w:sz="8" w:space="0" w:color="auto"/>
            </w:tcBorders>
            <w:noWrap/>
            <w:vAlign w:val="center"/>
          </w:tcPr>
          <w:p w:rsidR="001B7421" w:rsidRDefault="001B7421" w:rsidP="003C7DB0">
            <w:pPr>
              <w:jc w:val="center"/>
            </w:pPr>
            <w:r>
              <w:t>30,00</w:t>
            </w:r>
          </w:p>
        </w:tc>
        <w:tc>
          <w:tcPr>
            <w:tcW w:w="1134" w:type="dxa"/>
            <w:tcBorders>
              <w:top w:val="single" w:sz="4" w:space="0" w:color="auto"/>
              <w:left w:val="nil"/>
              <w:bottom w:val="single" w:sz="4" w:space="0" w:color="auto"/>
              <w:right w:val="single" w:sz="4" w:space="0" w:color="auto"/>
            </w:tcBorders>
            <w:noWrap/>
            <w:vAlign w:val="center"/>
          </w:tcPr>
          <w:p w:rsidR="001B7421" w:rsidRDefault="001B7421" w:rsidP="003C7DB0">
            <w:pPr>
              <w:jc w:val="right"/>
            </w:pPr>
            <w:r>
              <w:t>240,00</w:t>
            </w:r>
          </w:p>
        </w:tc>
      </w:tr>
      <w:tr w:rsidR="001B7421" w:rsidTr="003C7DB0">
        <w:trPr>
          <w:trHeight w:val="117"/>
        </w:trPr>
        <w:tc>
          <w:tcPr>
            <w:tcW w:w="946" w:type="dxa"/>
            <w:vMerge/>
            <w:tcBorders>
              <w:top w:val="nil"/>
              <w:left w:val="single" w:sz="4" w:space="0" w:color="auto"/>
              <w:bottom w:val="single" w:sz="4" w:space="0" w:color="auto"/>
              <w:right w:val="single" w:sz="4" w:space="0" w:color="auto"/>
            </w:tcBorders>
            <w:vAlign w:val="center"/>
          </w:tcPr>
          <w:p w:rsidR="001B7421" w:rsidRDefault="001B7421" w:rsidP="003C7DB0">
            <w:pPr>
              <w:rPr>
                <w:b/>
                <w:bCs/>
              </w:rPr>
            </w:pPr>
          </w:p>
        </w:tc>
        <w:tc>
          <w:tcPr>
            <w:tcW w:w="1181" w:type="dxa"/>
            <w:vMerge/>
            <w:tcBorders>
              <w:left w:val="single" w:sz="4" w:space="0" w:color="auto"/>
              <w:right w:val="single" w:sz="4" w:space="0" w:color="auto"/>
            </w:tcBorders>
            <w:noWrap/>
            <w:vAlign w:val="center"/>
          </w:tcPr>
          <w:p w:rsidR="001B7421" w:rsidRDefault="001B7421" w:rsidP="003C7DB0">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1B7421" w:rsidRDefault="001B7421" w:rsidP="003C7DB0">
            <w:pPr>
              <w:jc w:val="center"/>
            </w:pPr>
            <w:r>
              <w:t>Цр</w:t>
            </w:r>
          </w:p>
        </w:tc>
        <w:tc>
          <w:tcPr>
            <w:tcW w:w="2410" w:type="dxa"/>
            <w:tcBorders>
              <w:top w:val="single" w:sz="4" w:space="0" w:color="auto"/>
              <w:left w:val="single" w:sz="4" w:space="0" w:color="auto"/>
              <w:bottom w:val="single" w:sz="4" w:space="0" w:color="auto"/>
              <w:right w:val="nil"/>
            </w:tcBorders>
            <w:vAlign w:val="center"/>
          </w:tcPr>
          <w:p w:rsidR="001B7421" w:rsidRDefault="001B7421" w:rsidP="003C7DB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1B7421" w:rsidRDefault="001B7421" w:rsidP="003C7DB0">
            <w:pPr>
              <w:jc w:val="center"/>
            </w:pPr>
            <w:r>
              <w:t>28</w:t>
            </w:r>
          </w:p>
        </w:tc>
        <w:tc>
          <w:tcPr>
            <w:tcW w:w="749" w:type="dxa"/>
            <w:tcBorders>
              <w:top w:val="single" w:sz="4" w:space="0" w:color="auto"/>
              <w:left w:val="single" w:sz="4" w:space="0" w:color="auto"/>
              <w:bottom w:val="single" w:sz="8" w:space="0" w:color="auto"/>
              <w:right w:val="nil"/>
            </w:tcBorders>
            <w:vAlign w:val="center"/>
          </w:tcPr>
          <w:p w:rsidR="001B7421" w:rsidRDefault="001B7421" w:rsidP="003C7DB0">
            <w:pPr>
              <w:jc w:val="center"/>
            </w:pPr>
            <w:r>
              <w:t>51</w:t>
            </w:r>
          </w:p>
        </w:tc>
        <w:tc>
          <w:tcPr>
            <w:tcW w:w="1071" w:type="dxa"/>
            <w:tcBorders>
              <w:top w:val="single" w:sz="4" w:space="0" w:color="auto"/>
              <w:left w:val="single" w:sz="8" w:space="0" w:color="auto"/>
              <w:bottom w:val="single" w:sz="4" w:space="0" w:color="auto"/>
              <w:right w:val="single" w:sz="8" w:space="0" w:color="auto"/>
            </w:tcBorders>
            <w:noWrap/>
            <w:vAlign w:val="center"/>
          </w:tcPr>
          <w:p w:rsidR="001B7421" w:rsidRDefault="001B7421" w:rsidP="003C7DB0">
            <w:pPr>
              <w:jc w:val="right"/>
            </w:pPr>
          </w:p>
        </w:tc>
        <w:tc>
          <w:tcPr>
            <w:tcW w:w="1157" w:type="dxa"/>
            <w:tcBorders>
              <w:top w:val="single" w:sz="4" w:space="0" w:color="auto"/>
              <w:left w:val="nil"/>
              <w:bottom w:val="single" w:sz="4" w:space="0" w:color="auto"/>
              <w:right w:val="single" w:sz="8" w:space="0" w:color="auto"/>
            </w:tcBorders>
            <w:noWrap/>
            <w:vAlign w:val="center"/>
          </w:tcPr>
          <w:p w:rsidR="001B7421" w:rsidRDefault="001B7421" w:rsidP="003C7DB0">
            <w:pPr>
              <w:jc w:val="center"/>
            </w:pPr>
            <w:r>
              <w:t>30,00</w:t>
            </w:r>
          </w:p>
        </w:tc>
        <w:tc>
          <w:tcPr>
            <w:tcW w:w="1134" w:type="dxa"/>
            <w:tcBorders>
              <w:top w:val="single" w:sz="4" w:space="0" w:color="auto"/>
              <w:left w:val="nil"/>
              <w:bottom w:val="single" w:sz="4" w:space="0" w:color="auto"/>
              <w:right w:val="single" w:sz="4" w:space="0" w:color="auto"/>
            </w:tcBorders>
            <w:noWrap/>
            <w:vAlign w:val="center"/>
          </w:tcPr>
          <w:p w:rsidR="001B7421" w:rsidRDefault="001B7421" w:rsidP="003C7DB0">
            <w:pPr>
              <w:jc w:val="right"/>
            </w:pPr>
            <w:r>
              <w:t>1530,00</w:t>
            </w:r>
          </w:p>
        </w:tc>
      </w:tr>
      <w:tr w:rsidR="001B7421" w:rsidTr="003C7DB0">
        <w:trPr>
          <w:trHeight w:val="117"/>
        </w:trPr>
        <w:tc>
          <w:tcPr>
            <w:tcW w:w="946" w:type="dxa"/>
            <w:vMerge/>
            <w:tcBorders>
              <w:top w:val="nil"/>
              <w:left w:val="single" w:sz="4" w:space="0" w:color="auto"/>
              <w:bottom w:val="single" w:sz="4" w:space="0" w:color="auto"/>
              <w:right w:val="single" w:sz="4" w:space="0" w:color="auto"/>
            </w:tcBorders>
            <w:vAlign w:val="center"/>
          </w:tcPr>
          <w:p w:rsidR="001B7421" w:rsidRDefault="001B7421" w:rsidP="003C7DB0">
            <w:pPr>
              <w:rPr>
                <w:b/>
                <w:bCs/>
              </w:rPr>
            </w:pPr>
          </w:p>
        </w:tc>
        <w:tc>
          <w:tcPr>
            <w:tcW w:w="1181" w:type="dxa"/>
            <w:vMerge/>
            <w:tcBorders>
              <w:left w:val="single" w:sz="4" w:space="0" w:color="auto"/>
              <w:right w:val="single" w:sz="4" w:space="0" w:color="auto"/>
            </w:tcBorders>
            <w:noWrap/>
            <w:vAlign w:val="center"/>
          </w:tcPr>
          <w:p w:rsidR="001B7421" w:rsidRDefault="001B7421" w:rsidP="003C7DB0">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1B7421" w:rsidRDefault="001B7421" w:rsidP="003C7DB0">
            <w:pPr>
              <w:jc w:val="center"/>
            </w:pPr>
            <w:r>
              <w:t>Здб</w:t>
            </w:r>
          </w:p>
        </w:tc>
        <w:tc>
          <w:tcPr>
            <w:tcW w:w="2410" w:type="dxa"/>
            <w:tcBorders>
              <w:top w:val="single" w:sz="4" w:space="0" w:color="auto"/>
              <w:left w:val="single" w:sz="4" w:space="0" w:color="auto"/>
              <w:bottom w:val="single" w:sz="4" w:space="0" w:color="auto"/>
              <w:right w:val="nil"/>
            </w:tcBorders>
            <w:vAlign w:val="center"/>
          </w:tcPr>
          <w:p w:rsidR="001B7421" w:rsidRDefault="001B7421" w:rsidP="003C7DB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1B7421" w:rsidRDefault="001B7421" w:rsidP="003C7DB0">
            <w:pPr>
              <w:jc w:val="center"/>
            </w:pPr>
            <w:r>
              <w:t>27</w:t>
            </w:r>
          </w:p>
        </w:tc>
        <w:tc>
          <w:tcPr>
            <w:tcW w:w="749" w:type="dxa"/>
            <w:tcBorders>
              <w:top w:val="single" w:sz="4" w:space="0" w:color="auto"/>
              <w:left w:val="single" w:sz="4" w:space="0" w:color="auto"/>
              <w:bottom w:val="single" w:sz="8" w:space="0" w:color="auto"/>
              <w:right w:val="nil"/>
            </w:tcBorders>
            <w:vAlign w:val="center"/>
          </w:tcPr>
          <w:p w:rsidR="001B7421" w:rsidRDefault="001B7421" w:rsidP="003C7DB0">
            <w:pPr>
              <w:jc w:val="center"/>
            </w:pPr>
            <w:r>
              <w:t>49</w:t>
            </w:r>
          </w:p>
        </w:tc>
        <w:tc>
          <w:tcPr>
            <w:tcW w:w="1071" w:type="dxa"/>
            <w:tcBorders>
              <w:top w:val="single" w:sz="4" w:space="0" w:color="auto"/>
              <w:left w:val="single" w:sz="8" w:space="0" w:color="auto"/>
              <w:bottom w:val="single" w:sz="4" w:space="0" w:color="auto"/>
              <w:right w:val="single" w:sz="8" w:space="0" w:color="auto"/>
            </w:tcBorders>
            <w:noWrap/>
            <w:vAlign w:val="center"/>
          </w:tcPr>
          <w:p w:rsidR="001B7421" w:rsidRDefault="001B7421" w:rsidP="003C7DB0">
            <w:pPr>
              <w:jc w:val="right"/>
            </w:pPr>
          </w:p>
        </w:tc>
        <w:tc>
          <w:tcPr>
            <w:tcW w:w="1157" w:type="dxa"/>
            <w:tcBorders>
              <w:top w:val="single" w:sz="4" w:space="0" w:color="auto"/>
              <w:left w:val="nil"/>
              <w:bottom w:val="single" w:sz="4" w:space="0" w:color="auto"/>
              <w:right w:val="single" w:sz="8" w:space="0" w:color="auto"/>
            </w:tcBorders>
            <w:noWrap/>
            <w:vAlign w:val="center"/>
          </w:tcPr>
          <w:p w:rsidR="001B7421" w:rsidRDefault="001B7421" w:rsidP="003C7DB0">
            <w:pPr>
              <w:jc w:val="center"/>
            </w:pPr>
            <w:r>
              <w:t>30,00</w:t>
            </w:r>
          </w:p>
        </w:tc>
        <w:tc>
          <w:tcPr>
            <w:tcW w:w="1134" w:type="dxa"/>
            <w:tcBorders>
              <w:top w:val="single" w:sz="4" w:space="0" w:color="auto"/>
              <w:left w:val="nil"/>
              <w:bottom w:val="single" w:sz="4" w:space="0" w:color="auto"/>
              <w:right w:val="single" w:sz="4" w:space="0" w:color="auto"/>
            </w:tcBorders>
            <w:noWrap/>
            <w:vAlign w:val="center"/>
          </w:tcPr>
          <w:p w:rsidR="001B7421" w:rsidRDefault="001B7421" w:rsidP="003C7DB0">
            <w:pPr>
              <w:jc w:val="right"/>
            </w:pPr>
            <w:r>
              <w:t>1470,00</w:t>
            </w:r>
          </w:p>
        </w:tc>
      </w:tr>
      <w:tr w:rsidR="001B7421" w:rsidTr="003C7DB0">
        <w:trPr>
          <w:trHeight w:val="117"/>
        </w:trPr>
        <w:tc>
          <w:tcPr>
            <w:tcW w:w="946" w:type="dxa"/>
            <w:vMerge/>
            <w:tcBorders>
              <w:top w:val="nil"/>
              <w:left w:val="single" w:sz="4" w:space="0" w:color="auto"/>
              <w:bottom w:val="single" w:sz="4" w:space="0" w:color="auto"/>
              <w:right w:val="single" w:sz="4" w:space="0" w:color="auto"/>
            </w:tcBorders>
            <w:vAlign w:val="center"/>
          </w:tcPr>
          <w:p w:rsidR="001B7421" w:rsidRDefault="001B7421" w:rsidP="003C7DB0">
            <w:pPr>
              <w:rPr>
                <w:b/>
                <w:bCs/>
              </w:rPr>
            </w:pPr>
          </w:p>
        </w:tc>
        <w:tc>
          <w:tcPr>
            <w:tcW w:w="1181" w:type="dxa"/>
            <w:vMerge/>
            <w:tcBorders>
              <w:left w:val="single" w:sz="4" w:space="0" w:color="auto"/>
              <w:right w:val="single" w:sz="4" w:space="0" w:color="auto"/>
            </w:tcBorders>
            <w:noWrap/>
            <w:vAlign w:val="center"/>
          </w:tcPr>
          <w:p w:rsidR="001B7421" w:rsidRDefault="001B7421" w:rsidP="003C7DB0">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1B7421" w:rsidRDefault="001B7421" w:rsidP="003C7DB0">
            <w:pPr>
              <w:jc w:val="center"/>
            </w:pPr>
            <w:r>
              <w:t>Кгбр</w:t>
            </w:r>
          </w:p>
        </w:tc>
        <w:tc>
          <w:tcPr>
            <w:tcW w:w="2410" w:type="dxa"/>
            <w:tcBorders>
              <w:top w:val="single" w:sz="4" w:space="0" w:color="auto"/>
              <w:left w:val="single" w:sz="4" w:space="0" w:color="auto"/>
              <w:bottom w:val="single" w:sz="4" w:space="0" w:color="auto"/>
              <w:right w:val="nil"/>
            </w:tcBorders>
            <w:vAlign w:val="center"/>
          </w:tcPr>
          <w:p w:rsidR="001B7421" w:rsidRDefault="001B7421" w:rsidP="003C7DB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1B7421" w:rsidRDefault="001B7421" w:rsidP="003C7DB0">
            <w:pPr>
              <w:jc w:val="center"/>
            </w:pPr>
            <w:r>
              <w:t>9</w:t>
            </w:r>
          </w:p>
        </w:tc>
        <w:tc>
          <w:tcPr>
            <w:tcW w:w="749" w:type="dxa"/>
            <w:tcBorders>
              <w:top w:val="single" w:sz="4" w:space="0" w:color="auto"/>
              <w:left w:val="single" w:sz="4" w:space="0" w:color="auto"/>
              <w:bottom w:val="single" w:sz="8" w:space="0" w:color="auto"/>
              <w:right w:val="nil"/>
            </w:tcBorders>
            <w:vAlign w:val="center"/>
          </w:tcPr>
          <w:p w:rsidR="001B7421" w:rsidRDefault="001B7421" w:rsidP="003C7DB0">
            <w:pPr>
              <w:jc w:val="center"/>
            </w:pPr>
            <w:r>
              <w:t>16</w:t>
            </w:r>
          </w:p>
        </w:tc>
        <w:tc>
          <w:tcPr>
            <w:tcW w:w="1071" w:type="dxa"/>
            <w:tcBorders>
              <w:top w:val="single" w:sz="4" w:space="0" w:color="auto"/>
              <w:left w:val="single" w:sz="8" w:space="0" w:color="auto"/>
              <w:bottom w:val="single" w:sz="4" w:space="0" w:color="auto"/>
              <w:right w:val="single" w:sz="8" w:space="0" w:color="auto"/>
            </w:tcBorders>
            <w:noWrap/>
            <w:vAlign w:val="center"/>
          </w:tcPr>
          <w:p w:rsidR="001B7421" w:rsidRDefault="001B7421" w:rsidP="003C7DB0">
            <w:pPr>
              <w:jc w:val="right"/>
            </w:pPr>
          </w:p>
        </w:tc>
        <w:tc>
          <w:tcPr>
            <w:tcW w:w="1157" w:type="dxa"/>
            <w:tcBorders>
              <w:top w:val="single" w:sz="4" w:space="0" w:color="auto"/>
              <w:left w:val="nil"/>
              <w:bottom w:val="single" w:sz="4" w:space="0" w:color="auto"/>
              <w:right w:val="single" w:sz="8" w:space="0" w:color="auto"/>
            </w:tcBorders>
            <w:noWrap/>
            <w:vAlign w:val="center"/>
          </w:tcPr>
          <w:p w:rsidR="001B7421" w:rsidRDefault="001B7421" w:rsidP="003C7DB0">
            <w:pPr>
              <w:jc w:val="center"/>
            </w:pPr>
            <w:r>
              <w:t>30,00</w:t>
            </w:r>
          </w:p>
        </w:tc>
        <w:tc>
          <w:tcPr>
            <w:tcW w:w="1134" w:type="dxa"/>
            <w:tcBorders>
              <w:top w:val="single" w:sz="4" w:space="0" w:color="auto"/>
              <w:left w:val="nil"/>
              <w:bottom w:val="single" w:sz="4" w:space="0" w:color="auto"/>
              <w:right w:val="single" w:sz="4" w:space="0" w:color="auto"/>
            </w:tcBorders>
            <w:noWrap/>
            <w:vAlign w:val="center"/>
          </w:tcPr>
          <w:p w:rsidR="001B7421" w:rsidRDefault="001B7421" w:rsidP="003C7DB0">
            <w:pPr>
              <w:jc w:val="right"/>
            </w:pPr>
            <w:r>
              <w:t>480,00</w:t>
            </w:r>
          </w:p>
        </w:tc>
      </w:tr>
      <w:tr w:rsidR="001B7421" w:rsidTr="003C7DB0">
        <w:trPr>
          <w:trHeight w:val="117"/>
        </w:trPr>
        <w:tc>
          <w:tcPr>
            <w:tcW w:w="946" w:type="dxa"/>
            <w:vMerge/>
            <w:tcBorders>
              <w:top w:val="nil"/>
              <w:left w:val="single" w:sz="4" w:space="0" w:color="auto"/>
              <w:bottom w:val="single" w:sz="4" w:space="0" w:color="auto"/>
              <w:right w:val="single" w:sz="4" w:space="0" w:color="auto"/>
            </w:tcBorders>
            <w:vAlign w:val="center"/>
          </w:tcPr>
          <w:p w:rsidR="001B7421" w:rsidRDefault="001B7421" w:rsidP="003C7DB0">
            <w:pPr>
              <w:rPr>
                <w:b/>
                <w:bCs/>
              </w:rPr>
            </w:pPr>
          </w:p>
        </w:tc>
        <w:tc>
          <w:tcPr>
            <w:tcW w:w="1181" w:type="dxa"/>
            <w:vMerge/>
            <w:tcBorders>
              <w:left w:val="single" w:sz="4" w:space="0" w:color="auto"/>
              <w:bottom w:val="single" w:sz="4" w:space="0" w:color="auto"/>
              <w:right w:val="single" w:sz="4" w:space="0" w:color="auto"/>
            </w:tcBorders>
            <w:noWrap/>
            <w:vAlign w:val="center"/>
          </w:tcPr>
          <w:p w:rsidR="001B7421" w:rsidRDefault="001B7421" w:rsidP="003C7DB0">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1B7421" w:rsidRDefault="001B7421" w:rsidP="003C7DB0">
            <w:pPr>
              <w:jc w:val="center"/>
            </w:pPr>
            <w:r>
              <w:t>Мжд</w:t>
            </w:r>
          </w:p>
        </w:tc>
        <w:tc>
          <w:tcPr>
            <w:tcW w:w="2410" w:type="dxa"/>
            <w:tcBorders>
              <w:top w:val="single" w:sz="4" w:space="0" w:color="auto"/>
              <w:left w:val="single" w:sz="4" w:space="0" w:color="auto"/>
              <w:bottom w:val="single" w:sz="4" w:space="0" w:color="auto"/>
              <w:right w:val="nil"/>
            </w:tcBorders>
            <w:vAlign w:val="center"/>
          </w:tcPr>
          <w:p w:rsidR="001B7421" w:rsidRDefault="001B7421" w:rsidP="003C7DB0">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1B7421" w:rsidRDefault="001B7421" w:rsidP="003C7DB0">
            <w:pPr>
              <w:jc w:val="center"/>
            </w:pPr>
            <w:r>
              <w:t>8</w:t>
            </w:r>
          </w:p>
        </w:tc>
        <w:tc>
          <w:tcPr>
            <w:tcW w:w="749" w:type="dxa"/>
            <w:tcBorders>
              <w:top w:val="single" w:sz="4" w:space="0" w:color="auto"/>
              <w:left w:val="single" w:sz="4" w:space="0" w:color="auto"/>
              <w:bottom w:val="single" w:sz="8" w:space="0" w:color="auto"/>
              <w:right w:val="nil"/>
            </w:tcBorders>
            <w:vAlign w:val="center"/>
          </w:tcPr>
          <w:p w:rsidR="001B7421" w:rsidRDefault="001B7421" w:rsidP="003C7DB0">
            <w:pPr>
              <w:jc w:val="center"/>
            </w:pPr>
            <w:r>
              <w:t>15</w:t>
            </w:r>
          </w:p>
        </w:tc>
        <w:tc>
          <w:tcPr>
            <w:tcW w:w="1071" w:type="dxa"/>
            <w:tcBorders>
              <w:top w:val="single" w:sz="4" w:space="0" w:color="auto"/>
              <w:left w:val="single" w:sz="8" w:space="0" w:color="auto"/>
              <w:bottom w:val="single" w:sz="4" w:space="0" w:color="auto"/>
              <w:right w:val="single" w:sz="8" w:space="0" w:color="auto"/>
            </w:tcBorders>
            <w:noWrap/>
            <w:vAlign w:val="center"/>
          </w:tcPr>
          <w:p w:rsidR="001B7421" w:rsidRDefault="001B7421" w:rsidP="003C7DB0">
            <w:pPr>
              <w:jc w:val="right"/>
            </w:pPr>
          </w:p>
        </w:tc>
        <w:tc>
          <w:tcPr>
            <w:tcW w:w="1157" w:type="dxa"/>
            <w:tcBorders>
              <w:top w:val="single" w:sz="4" w:space="0" w:color="auto"/>
              <w:left w:val="nil"/>
              <w:bottom w:val="single" w:sz="4" w:space="0" w:color="auto"/>
              <w:right w:val="single" w:sz="8" w:space="0" w:color="auto"/>
            </w:tcBorders>
            <w:noWrap/>
            <w:vAlign w:val="center"/>
          </w:tcPr>
          <w:p w:rsidR="001B7421" w:rsidRDefault="001B7421" w:rsidP="003C7DB0">
            <w:pPr>
              <w:jc w:val="center"/>
            </w:pPr>
            <w:r>
              <w:t>30,00</w:t>
            </w:r>
          </w:p>
        </w:tc>
        <w:tc>
          <w:tcPr>
            <w:tcW w:w="1134" w:type="dxa"/>
            <w:tcBorders>
              <w:top w:val="single" w:sz="4" w:space="0" w:color="auto"/>
              <w:left w:val="nil"/>
              <w:bottom w:val="single" w:sz="4" w:space="0" w:color="auto"/>
              <w:right w:val="single" w:sz="4" w:space="0" w:color="auto"/>
            </w:tcBorders>
            <w:noWrap/>
            <w:vAlign w:val="center"/>
          </w:tcPr>
          <w:p w:rsidR="001B7421" w:rsidRDefault="001B7421" w:rsidP="003C7DB0">
            <w:pPr>
              <w:jc w:val="right"/>
            </w:pPr>
            <w:r>
              <w:t>450,00</w:t>
            </w:r>
          </w:p>
        </w:tc>
      </w:tr>
      <w:tr w:rsidR="001B7421" w:rsidTr="003C7DB0">
        <w:trPr>
          <w:trHeight w:val="117"/>
        </w:trPr>
        <w:tc>
          <w:tcPr>
            <w:tcW w:w="946" w:type="dxa"/>
            <w:vMerge/>
            <w:tcBorders>
              <w:top w:val="nil"/>
              <w:left w:val="single" w:sz="4" w:space="0" w:color="auto"/>
              <w:bottom w:val="single" w:sz="4" w:space="0" w:color="auto"/>
              <w:right w:val="single" w:sz="4" w:space="0" w:color="auto"/>
            </w:tcBorders>
            <w:vAlign w:val="center"/>
          </w:tcPr>
          <w:p w:rsidR="001B7421" w:rsidRDefault="001B7421" w:rsidP="003C7DB0">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1B7421" w:rsidRDefault="001B7421" w:rsidP="003C7DB0"/>
        </w:tc>
        <w:tc>
          <w:tcPr>
            <w:tcW w:w="708" w:type="dxa"/>
            <w:tcBorders>
              <w:top w:val="single" w:sz="4" w:space="0" w:color="auto"/>
              <w:left w:val="single" w:sz="4" w:space="0" w:color="auto"/>
              <w:bottom w:val="single" w:sz="8" w:space="0" w:color="auto"/>
              <w:right w:val="single" w:sz="4" w:space="0" w:color="auto"/>
            </w:tcBorders>
          </w:tcPr>
          <w:p w:rsidR="001B7421" w:rsidRPr="00ED46E0" w:rsidRDefault="001B7421" w:rsidP="003C7DB0">
            <w:pPr>
              <w:jc w:val="center"/>
              <w:rPr>
                <w:b/>
              </w:rPr>
            </w:pPr>
            <w:r>
              <w:rPr>
                <w:b/>
              </w:rPr>
              <w:t>90</w:t>
            </w:r>
          </w:p>
        </w:tc>
        <w:tc>
          <w:tcPr>
            <w:tcW w:w="749" w:type="dxa"/>
            <w:tcBorders>
              <w:top w:val="single" w:sz="4" w:space="0" w:color="auto"/>
              <w:left w:val="single" w:sz="4" w:space="0" w:color="auto"/>
              <w:bottom w:val="single" w:sz="8" w:space="0" w:color="auto"/>
              <w:right w:val="nil"/>
            </w:tcBorders>
            <w:vAlign w:val="center"/>
          </w:tcPr>
          <w:p w:rsidR="001B7421" w:rsidRPr="00ED46E0" w:rsidRDefault="001B7421" w:rsidP="003C7DB0">
            <w:pPr>
              <w:jc w:val="center"/>
              <w:rPr>
                <w:b/>
              </w:rPr>
            </w:pPr>
            <w:r>
              <w:rPr>
                <w:b/>
              </w:rPr>
              <w:t>161</w:t>
            </w:r>
          </w:p>
        </w:tc>
        <w:tc>
          <w:tcPr>
            <w:tcW w:w="1071" w:type="dxa"/>
            <w:tcBorders>
              <w:top w:val="single" w:sz="4" w:space="0" w:color="auto"/>
              <w:left w:val="single" w:sz="8" w:space="0" w:color="auto"/>
              <w:bottom w:val="single" w:sz="4" w:space="0" w:color="auto"/>
              <w:right w:val="single" w:sz="8" w:space="0" w:color="auto"/>
            </w:tcBorders>
            <w:noWrap/>
            <w:vAlign w:val="center"/>
          </w:tcPr>
          <w:p w:rsidR="001B7421" w:rsidRDefault="001B7421" w:rsidP="003C7DB0">
            <w:pPr>
              <w:jc w:val="right"/>
            </w:pPr>
          </w:p>
        </w:tc>
        <w:tc>
          <w:tcPr>
            <w:tcW w:w="1157" w:type="dxa"/>
            <w:tcBorders>
              <w:top w:val="single" w:sz="4" w:space="0" w:color="auto"/>
              <w:left w:val="nil"/>
              <w:bottom w:val="single" w:sz="4" w:space="0" w:color="auto"/>
              <w:right w:val="single" w:sz="8" w:space="0" w:color="auto"/>
            </w:tcBorders>
            <w:noWrap/>
            <w:vAlign w:val="center"/>
          </w:tcPr>
          <w:p w:rsidR="001B7421" w:rsidRDefault="001B7421" w:rsidP="003C7DB0">
            <w:pPr>
              <w:jc w:val="center"/>
            </w:pPr>
          </w:p>
        </w:tc>
        <w:tc>
          <w:tcPr>
            <w:tcW w:w="1134" w:type="dxa"/>
            <w:tcBorders>
              <w:top w:val="single" w:sz="4" w:space="0" w:color="auto"/>
              <w:left w:val="nil"/>
              <w:bottom w:val="single" w:sz="4" w:space="0" w:color="auto"/>
              <w:right w:val="single" w:sz="4" w:space="0" w:color="auto"/>
            </w:tcBorders>
            <w:noWrap/>
            <w:vAlign w:val="center"/>
          </w:tcPr>
          <w:p w:rsidR="001B7421" w:rsidRPr="00ED46E0" w:rsidRDefault="001B7421" w:rsidP="003C7DB0">
            <w:pPr>
              <w:jc w:val="right"/>
              <w:rPr>
                <w:b/>
              </w:rPr>
            </w:pPr>
            <w:r>
              <w:rPr>
                <w:b/>
              </w:rPr>
              <w:t>4830</w:t>
            </w:r>
            <w:r w:rsidRPr="00ED46E0">
              <w:rPr>
                <w:b/>
              </w:rPr>
              <w:t>,00</w:t>
            </w:r>
          </w:p>
        </w:tc>
      </w:tr>
      <w:tr w:rsidR="001B7421" w:rsidTr="003C7DB0">
        <w:trPr>
          <w:trHeight w:val="117"/>
        </w:trPr>
        <w:tc>
          <w:tcPr>
            <w:tcW w:w="946" w:type="dxa"/>
            <w:vMerge/>
            <w:tcBorders>
              <w:top w:val="nil"/>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1181" w:type="dxa"/>
            <w:vMerge w:val="restart"/>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center"/>
              <w:rPr>
                <w:b/>
                <w:bCs/>
              </w:rPr>
            </w:pPr>
            <w:r>
              <w:rPr>
                <w:b/>
                <w:bCs/>
              </w:rPr>
              <w:t xml:space="preserve">  370 ж</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jc w:val="center"/>
            </w:pPr>
            <w:r>
              <w:t>Гбр</w:t>
            </w:r>
          </w:p>
          <w:p w:rsidR="001B7421" w:rsidRDefault="001B7421" w:rsidP="003C7DB0">
            <w:pPr>
              <w:jc w:val="center"/>
            </w:pPr>
            <w:r>
              <w:t>Цр</w:t>
            </w:r>
          </w:p>
          <w:p w:rsidR="001B7421" w:rsidRDefault="001B7421" w:rsidP="003C7DB0">
            <w:pPr>
              <w:jc w:val="center"/>
            </w:pPr>
            <w:r>
              <w:t>Гбр</w:t>
            </w:r>
          </w:p>
          <w:p w:rsidR="001B7421" w:rsidRDefault="001B7421" w:rsidP="003C7DB0">
            <w:pPr>
              <w:jc w:val="center"/>
            </w:pPr>
            <w:r>
              <w:t>Гбр</w:t>
            </w:r>
          </w:p>
          <w:p w:rsidR="001B7421" w:rsidRDefault="001B7421" w:rsidP="003C7DB0">
            <w:pPr>
              <w:jc w:val="center"/>
            </w:pPr>
            <w:r>
              <w:t>Цр</w:t>
            </w:r>
          </w:p>
          <w:p w:rsidR="001B7421" w:rsidRDefault="001B7421" w:rsidP="003C7DB0">
            <w:pPr>
              <w:jc w:val="center"/>
            </w:pPr>
            <w:r>
              <w:t>Гбр</w:t>
            </w:r>
          </w:p>
          <w:p w:rsidR="001B7421" w:rsidRDefault="001B7421" w:rsidP="003C7DB0">
            <w:pPr>
              <w:jc w:val="center"/>
            </w:pPr>
            <w:r>
              <w:t>Цр</w:t>
            </w:r>
          </w:p>
        </w:tc>
        <w:tc>
          <w:tcPr>
            <w:tcW w:w="2410" w:type="dxa"/>
            <w:tcBorders>
              <w:top w:val="single" w:sz="4" w:space="0" w:color="auto"/>
              <w:left w:val="single" w:sz="4" w:space="0" w:color="auto"/>
              <w:bottom w:val="single" w:sz="4" w:space="0" w:color="auto"/>
              <w:right w:val="nil"/>
            </w:tcBorders>
            <w:vAlign w:val="center"/>
            <w:hideMark/>
          </w:tcPr>
          <w:p w:rsidR="001B7421" w:rsidRDefault="001B7421" w:rsidP="003C7DB0">
            <w:r>
              <w:t>Средна техн. дървесина</w:t>
            </w:r>
          </w:p>
        </w:tc>
        <w:tc>
          <w:tcPr>
            <w:tcW w:w="708" w:type="dxa"/>
            <w:tcBorders>
              <w:top w:val="single" w:sz="4" w:space="0" w:color="auto"/>
              <w:left w:val="single" w:sz="4" w:space="0" w:color="auto"/>
              <w:bottom w:val="single" w:sz="8" w:space="0" w:color="auto"/>
              <w:right w:val="single" w:sz="4" w:space="0" w:color="auto"/>
            </w:tcBorders>
            <w:hideMark/>
          </w:tcPr>
          <w:p w:rsidR="001B7421" w:rsidRDefault="001B7421" w:rsidP="003C7DB0">
            <w:pPr>
              <w:jc w:val="center"/>
            </w:pPr>
            <w:r>
              <w:t>7</w:t>
            </w:r>
          </w:p>
        </w:tc>
        <w:tc>
          <w:tcPr>
            <w:tcW w:w="749" w:type="dxa"/>
            <w:tcBorders>
              <w:top w:val="single" w:sz="4" w:space="0" w:color="auto"/>
              <w:left w:val="single" w:sz="4" w:space="0" w:color="auto"/>
              <w:bottom w:val="single" w:sz="8" w:space="0" w:color="auto"/>
              <w:right w:val="nil"/>
            </w:tcBorders>
            <w:vAlign w:val="center"/>
            <w:hideMark/>
          </w:tcPr>
          <w:p w:rsidR="001B7421" w:rsidRDefault="001B7421" w:rsidP="003C7DB0">
            <w:pPr>
              <w:jc w:val="center"/>
            </w:pPr>
            <w:r>
              <w:t>12</w:t>
            </w:r>
          </w:p>
        </w:tc>
        <w:tc>
          <w:tcPr>
            <w:tcW w:w="1071" w:type="dxa"/>
            <w:tcBorders>
              <w:top w:val="single" w:sz="4" w:space="0" w:color="auto"/>
              <w:left w:val="single" w:sz="8" w:space="0" w:color="auto"/>
              <w:bottom w:val="single" w:sz="4" w:space="0" w:color="auto"/>
              <w:right w:val="single" w:sz="8" w:space="0" w:color="auto"/>
            </w:tcBorders>
            <w:noWrap/>
            <w:vAlign w:val="center"/>
          </w:tcPr>
          <w:p w:rsidR="001B7421" w:rsidRDefault="001B7421" w:rsidP="003C7DB0">
            <w:pPr>
              <w:jc w:val="right"/>
            </w:pPr>
          </w:p>
        </w:tc>
        <w:tc>
          <w:tcPr>
            <w:tcW w:w="1157" w:type="dxa"/>
            <w:tcBorders>
              <w:top w:val="single" w:sz="4" w:space="0" w:color="auto"/>
              <w:left w:val="nil"/>
              <w:bottom w:val="single" w:sz="4" w:space="0" w:color="auto"/>
              <w:right w:val="single" w:sz="8" w:space="0" w:color="auto"/>
            </w:tcBorders>
            <w:noWrap/>
            <w:vAlign w:val="center"/>
            <w:hideMark/>
          </w:tcPr>
          <w:p w:rsidR="001B7421" w:rsidRDefault="001B7421" w:rsidP="003C7DB0">
            <w:pPr>
              <w:jc w:val="center"/>
            </w:pPr>
            <w:r>
              <w:t>30,00</w:t>
            </w:r>
          </w:p>
        </w:tc>
        <w:tc>
          <w:tcPr>
            <w:tcW w:w="1134" w:type="dxa"/>
            <w:tcBorders>
              <w:top w:val="single" w:sz="4" w:space="0" w:color="auto"/>
              <w:left w:val="nil"/>
              <w:bottom w:val="single" w:sz="4" w:space="0" w:color="auto"/>
              <w:right w:val="single" w:sz="4" w:space="0" w:color="auto"/>
            </w:tcBorders>
            <w:noWrap/>
            <w:vAlign w:val="center"/>
            <w:hideMark/>
          </w:tcPr>
          <w:p w:rsidR="001B7421" w:rsidRDefault="001B7421" w:rsidP="003C7DB0">
            <w:pPr>
              <w:jc w:val="right"/>
            </w:pPr>
            <w:r>
              <w:t>360,00</w:t>
            </w:r>
          </w:p>
        </w:tc>
      </w:tr>
      <w:tr w:rsidR="001B7421" w:rsidTr="003C7DB0">
        <w:trPr>
          <w:trHeight w:val="116"/>
        </w:trPr>
        <w:tc>
          <w:tcPr>
            <w:tcW w:w="946" w:type="dxa"/>
            <w:vMerge/>
            <w:tcBorders>
              <w:top w:val="nil"/>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tc>
        <w:tc>
          <w:tcPr>
            <w:tcW w:w="2410" w:type="dxa"/>
            <w:tcBorders>
              <w:top w:val="single" w:sz="4" w:space="0" w:color="auto"/>
              <w:left w:val="single" w:sz="4" w:space="0" w:color="auto"/>
              <w:bottom w:val="single" w:sz="4" w:space="0" w:color="auto"/>
              <w:right w:val="nil"/>
            </w:tcBorders>
            <w:vAlign w:val="center"/>
            <w:hideMark/>
          </w:tcPr>
          <w:p w:rsidR="001B7421" w:rsidRDefault="001B7421" w:rsidP="003C7DB0">
            <w:r>
              <w:t>Средна техн. дървесина</w:t>
            </w:r>
          </w:p>
        </w:tc>
        <w:tc>
          <w:tcPr>
            <w:tcW w:w="708" w:type="dxa"/>
            <w:tcBorders>
              <w:top w:val="single" w:sz="4" w:space="0" w:color="auto"/>
              <w:left w:val="single" w:sz="4" w:space="0" w:color="auto"/>
              <w:bottom w:val="single" w:sz="8" w:space="0" w:color="auto"/>
              <w:right w:val="single" w:sz="4" w:space="0" w:color="auto"/>
            </w:tcBorders>
            <w:hideMark/>
          </w:tcPr>
          <w:p w:rsidR="001B7421" w:rsidRDefault="001B7421" w:rsidP="003C7DB0">
            <w:pPr>
              <w:jc w:val="center"/>
            </w:pPr>
            <w:r>
              <w:t>7</w:t>
            </w:r>
          </w:p>
        </w:tc>
        <w:tc>
          <w:tcPr>
            <w:tcW w:w="749" w:type="dxa"/>
            <w:tcBorders>
              <w:top w:val="single" w:sz="4" w:space="0" w:color="auto"/>
              <w:left w:val="single" w:sz="4" w:space="0" w:color="auto"/>
              <w:bottom w:val="single" w:sz="8" w:space="0" w:color="auto"/>
              <w:right w:val="single" w:sz="4" w:space="0" w:color="auto"/>
            </w:tcBorders>
            <w:vAlign w:val="center"/>
            <w:hideMark/>
          </w:tcPr>
          <w:p w:rsidR="001B7421" w:rsidRDefault="001B7421" w:rsidP="003C7DB0">
            <w:pPr>
              <w:jc w:val="center"/>
            </w:pPr>
            <w:r>
              <w:t>12</w:t>
            </w:r>
          </w:p>
        </w:tc>
        <w:tc>
          <w:tcPr>
            <w:tcW w:w="1071"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center"/>
            </w:pPr>
            <w:r>
              <w:t>30,00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right"/>
            </w:pPr>
            <w:r>
              <w:t xml:space="preserve"> 360,00</w:t>
            </w:r>
          </w:p>
        </w:tc>
      </w:tr>
      <w:tr w:rsidR="001B7421" w:rsidTr="003C7DB0">
        <w:trPr>
          <w:trHeight w:val="116"/>
        </w:trPr>
        <w:tc>
          <w:tcPr>
            <w:tcW w:w="946" w:type="dxa"/>
            <w:vMerge/>
            <w:tcBorders>
              <w:top w:val="nil"/>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tc>
        <w:tc>
          <w:tcPr>
            <w:tcW w:w="2410" w:type="dxa"/>
            <w:tcBorders>
              <w:top w:val="single" w:sz="4" w:space="0" w:color="auto"/>
              <w:left w:val="single" w:sz="4" w:space="0" w:color="auto"/>
              <w:bottom w:val="single" w:sz="4" w:space="0" w:color="auto"/>
              <w:right w:val="nil"/>
            </w:tcBorders>
            <w:vAlign w:val="center"/>
            <w:hideMark/>
          </w:tcPr>
          <w:p w:rsidR="001B7421" w:rsidRDefault="001B7421" w:rsidP="003C7DB0">
            <w:r>
              <w:t>Дребна техн. дървесина</w:t>
            </w:r>
          </w:p>
        </w:tc>
        <w:tc>
          <w:tcPr>
            <w:tcW w:w="708" w:type="dxa"/>
            <w:tcBorders>
              <w:top w:val="single" w:sz="4" w:space="0" w:color="auto"/>
              <w:left w:val="single" w:sz="4" w:space="0" w:color="auto"/>
              <w:bottom w:val="single" w:sz="8" w:space="0" w:color="auto"/>
              <w:right w:val="single" w:sz="4" w:space="0" w:color="auto"/>
            </w:tcBorders>
            <w:hideMark/>
          </w:tcPr>
          <w:p w:rsidR="001B7421" w:rsidRDefault="001B7421" w:rsidP="003C7DB0">
            <w:pPr>
              <w:jc w:val="center"/>
            </w:pPr>
            <w:r>
              <w:t>1</w:t>
            </w:r>
          </w:p>
        </w:tc>
        <w:tc>
          <w:tcPr>
            <w:tcW w:w="749" w:type="dxa"/>
            <w:tcBorders>
              <w:top w:val="single" w:sz="4" w:space="0" w:color="auto"/>
              <w:left w:val="single" w:sz="4" w:space="0" w:color="auto"/>
              <w:bottom w:val="single" w:sz="8" w:space="0" w:color="auto"/>
              <w:right w:val="single" w:sz="4" w:space="0" w:color="auto"/>
            </w:tcBorders>
            <w:vAlign w:val="center"/>
            <w:hideMark/>
          </w:tcPr>
          <w:p w:rsidR="001B7421" w:rsidRDefault="001B7421" w:rsidP="003C7DB0">
            <w:pPr>
              <w:jc w:val="center"/>
            </w:pPr>
            <w:r>
              <w:t>1</w:t>
            </w:r>
          </w:p>
        </w:tc>
        <w:tc>
          <w:tcPr>
            <w:tcW w:w="1071"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center"/>
            </w:pPr>
            <w:r>
              <w:t>30,00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right"/>
            </w:pPr>
            <w:r>
              <w:t>30,00</w:t>
            </w:r>
          </w:p>
        </w:tc>
      </w:tr>
      <w:tr w:rsidR="001B7421" w:rsidTr="003C7DB0">
        <w:trPr>
          <w:trHeight w:val="116"/>
        </w:trPr>
        <w:tc>
          <w:tcPr>
            <w:tcW w:w="946" w:type="dxa"/>
            <w:vMerge/>
            <w:tcBorders>
              <w:top w:val="nil"/>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tc>
        <w:tc>
          <w:tcPr>
            <w:tcW w:w="2410" w:type="dxa"/>
            <w:tcBorders>
              <w:top w:val="single" w:sz="4" w:space="0" w:color="auto"/>
              <w:left w:val="single" w:sz="4" w:space="0" w:color="auto"/>
              <w:bottom w:val="single" w:sz="4" w:space="0" w:color="auto"/>
              <w:right w:val="nil"/>
            </w:tcBorders>
            <w:vAlign w:val="center"/>
            <w:hideMark/>
          </w:tcPr>
          <w:p w:rsidR="001B7421" w:rsidRDefault="001B7421" w:rsidP="003C7DB0">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hideMark/>
          </w:tcPr>
          <w:p w:rsidR="001B7421" w:rsidRDefault="001B7421" w:rsidP="003C7DB0">
            <w:pPr>
              <w:jc w:val="center"/>
            </w:pPr>
            <w:r>
              <w:t>10</w:t>
            </w:r>
          </w:p>
        </w:tc>
        <w:tc>
          <w:tcPr>
            <w:tcW w:w="749" w:type="dxa"/>
            <w:tcBorders>
              <w:top w:val="single" w:sz="4" w:space="0" w:color="auto"/>
              <w:left w:val="single" w:sz="4" w:space="0" w:color="auto"/>
              <w:bottom w:val="single" w:sz="8" w:space="0" w:color="auto"/>
              <w:right w:val="single" w:sz="4" w:space="0" w:color="auto"/>
            </w:tcBorders>
            <w:vAlign w:val="center"/>
            <w:hideMark/>
          </w:tcPr>
          <w:p w:rsidR="001B7421" w:rsidRDefault="001B7421" w:rsidP="003C7DB0">
            <w:pPr>
              <w:jc w:val="center"/>
            </w:pPr>
            <w:r>
              <w:t>17</w:t>
            </w:r>
          </w:p>
        </w:tc>
        <w:tc>
          <w:tcPr>
            <w:tcW w:w="1071"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center"/>
            </w:pPr>
            <w:r>
              <w:t>30,00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right"/>
            </w:pPr>
            <w:r>
              <w:t>510,00</w:t>
            </w:r>
          </w:p>
        </w:tc>
      </w:tr>
      <w:tr w:rsidR="001B7421" w:rsidTr="003C7DB0">
        <w:trPr>
          <w:trHeight w:val="116"/>
        </w:trPr>
        <w:tc>
          <w:tcPr>
            <w:tcW w:w="946" w:type="dxa"/>
            <w:vMerge/>
            <w:tcBorders>
              <w:top w:val="nil"/>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tc>
        <w:tc>
          <w:tcPr>
            <w:tcW w:w="2410" w:type="dxa"/>
            <w:tcBorders>
              <w:top w:val="single" w:sz="4" w:space="0" w:color="auto"/>
              <w:left w:val="single" w:sz="4" w:space="0" w:color="auto"/>
              <w:bottom w:val="single" w:sz="4" w:space="0" w:color="auto"/>
              <w:right w:val="nil"/>
            </w:tcBorders>
            <w:vAlign w:val="center"/>
            <w:hideMark/>
          </w:tcPr>
          <w:p w:rsidR="001B7421" w:rsidRDefault="001B7421" w:rsidP="003C7DB0">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hideMark/>
          </w:tcPr>
          <w:p w:rsidR="001B7421" w:rsidRDefault="001B7421" w:rsidP="003C7DB0">
            <w:pPr>
              <w:jc w:val="center"/>
            </w:pPr>
            <w:r>
              <w:t>5</w:t>
            </w:r>
          </w:p>
        </w:tc>
        <w:tc>
          <w:tcPr>
            <w:tcW w:w="749" w:type="dxa"/>
            <w:tcBorders>
              <w:top w:val="single" w:sz="4" w:space="0" w:color="auto"/>
              <w:left w:val="single" w:sz="4" w:space="0" w:color="auto"/>
              <w:bottom w:val="single" w:sz="8" w:space="0" w:color="auto"/>
              <w:right w:val="single" w:sz="4" w:space="0" w:color="auto"/>
            </w:tcBorders>
            <w:vAlign w:val="center"/>
            <w:hideMark/>
          </w:tcPr>
          <w:p w:rsidR="001B7421" w:rsidRDefault="001B7421" w:rsidP="003C7DB0">
            <w:pPr>
              <w:jc w:val="center"/>
            </w:pPr>
            <w:r>
              <w:t>8</w:t>
            </w:r>
          </w:p>
        </w:tc>
        <w:tc>
          <w:tcPr>
            <w:tcW w:w="1071"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center"/>
            </w:pPr>
            <w:r>
              <w:t>30,00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right"/>
            </w:pPr>
            <w:r>
              <w:t>150,00</w:t>
            </w:r>
          </w:p>
        </w:tc>
      </w:tr>
      <w:tr w:rsidR="001B7421" w:rsidTr="003C7DB0">
        <w:trPr>
          <w:trHeight w:val="116"/>
        </w:trPr>
        <w:tc>
          <w:tcPr>
            <w:tcW w:w="946" w:type="dxa"/>
            <w:vMerge/>
            <w:tcBorders>
              <w:top w:val="nil"/>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tc>
        <w:tc>
          <w:tcPr>
            <w:tcW w:w="2410" w:type="dxa"/>
            <w:tcBorders>
              <w:top w:val="single" w:sz="4" w:space="0" w:color="auto"/>
              <w:left w:val="single" w:sz="4" w:space="0" w:color="auto"/>
              <w:bottom w:val="single" w:sz="4" w:space="0" w:color="auto"/>
              <w:right w:val="nil"/>
            </w:tcBorders>
            <w:vAlign w:val="center"/>
            <w:hideMark/>
          </w:tcPr>
          <w:p w:rsidR="001B7421" w:rsidRDefault="001B7421" w:rsidP="003C7DB0">
            <w:r>
              <w:t>Дърва за огрев</w:t>
            </w:r>
          </w:p>
        </w:tc>
        <w:tc>
          <w:tcPr>
            <w:tcW w:w="708" w:type="dxa"/>
            <w:tcBorders>
              <w:top w:val="single" w:sz="4" w:space="0" w:color="auto"/>
              <w:left w:val="single" w:sz="4" w:space="0" w:color="auto"/>
              <w:bottom w:val="single" w:sz="8" w:space="0" w:color="auto"/>
              <w:right w:val="single" w:sz="4" w:space="0" w:color="auto"/>
            </w:tcBorders>
            <w:hideMark/>
          </w:tcPr>
          <w:p w:rsidR="001B7421" w:rsidRDefault="001B7421" w:rsidP="003C7DB0">
            <w:pPr>
              <w:jc w:val="center"/>
            </w:pPr>
            <w:r>
              <w:t>55</w:t>
            </w:r>
          </w:p>
        </w:tc>
        <w:tc>
          <w:tcPr>
            <w:tcW w:w="749" w:type="dxa"/>
            <w:tcBorders>
              <w:top w:val="single" w:sz="4" w:space="0" w:color="auto"/>
              <w:left w:val="single" w:sz="4" w:space="0" w:color="auto"/>
              <w:bottom w:val="single" w:sz="8" w:space="0" w:color="auto"/>
              <w:right w:val="single" w:sz="4" w:space="0" w:color="auto"/>
            </w:tcBorders>
            <w:vAlign w:val="center"/>
            <w:hideMark/>
          </w:tcPr>
          <w:p w:rsidR="001B7421" w:rsidRDefault="001B7421" w:rsidP="003C7DB0">
            <w:pPr>
              <w:jc w:val="center"/>
            </w:pPr>
            <w:r>
              <w:t>100</w:t>
            </w:r>
          </w:p>
        </w:tc>
        <w:tc>
          <w:tcPr>
            <w:tcW w:w="1071"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center"/>
            </w:pPr>
            <w:r>
              <w:t>30,00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right"/>
            </w:pPr>
            <w:r>
              <w:t>3000,00</w:t>
            </w:r>
          </w:p>
        </w:tc>
      </w:tr>
      <w:tr w:rsidR="001B7421" w:rsidTr="003C7DB0">
        <w:trPr>
          <w:trHeight w:val="116"/>
        </w:trPr>
        <w:tc>
          <w:tcPr>
            <w:tcW w:w="946" w:type="dxa"/>
            <w:vMerge/>
            <w:tcBorders>
              <w:top w:val="nil"/>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tc>
        <w:tc>
          <w:tcPr>
            <w:tcW w:w="2410" w:type="dxa"/>
            <w:tcBorders>
              <w:top w:val="single" w:sz="4" w:space="0" w:color="auto"/>
              <w:left w:val="single" w:sz="4" w:space="0" w:color="auto"/>
              <w:bottom w:val="single" w:sz="4" w:space="0" w:color="auto"/>
              <w:right w:val="nil"/>
            </w:tcBorders>
            <w:vAlign w:val="center"/>
            <w:hideMark/>
          </w:tcPr>
          <w:p w:rsidR="001B7421" w:rsidRDefault="001B7421" w:rsidP="003C7DB0">
            <w:r>
              <w:t>Дърва за огрев</w:t>
            </w:r>
          </w:p>
        </w:tc>
        <w:tc>
          <w:tcPr>
            <w:tcW w:w="708" w:type="dxa"/>
            <w:tcBorders>
              <w:top w:val="single" w:sz="4" w:space="0" w:color="auto"/>
              <w:left w:val="single" w:sz="4" w:space="0" w:color="auto"/>
              <w:bottom w:val="single" w:sz="8" w:space="0" w:color="auto"/>
              <w:right w:val="single" w:sz="4" w:space="0" w:color="auto"/>
            </w:tcBorders>
            <w:hideMark/>
          </w:tcPr>
          <w:p w:rsidR="001B7421" w:rsidRDefault="001B7421" w:rsidP="003C7DB0">
            <w:pPr>
              <w:jc w:val="center"/>
            </w:pPr>
            <w:r>
              <w:t>60</w:t>
            </w:r>
          </w:p>
        </w:tc>
        <w:tc>
          <w:tcPr>
            <w:tcW w:w="749" w:type="dxa"/>
            <w:tcBorders>
              <w:top w:val="single" w:sz="4" w:space="0" w:color="auto"/>
              <w:left w:val="single" w:sz="4" w:space="0" w:color="auto"/>
              <w:bottom w:val="single" w:sz="8" w:space="0" w:color="auto"/>
              <w:right w:val="single" w:sz="4" w:space="0" w:color="auto"/>
            </w:tcBorders>
            <w:vAlign w:val="center"/>
            <w:hideMark/>
          </w:tcPr>
          <w:p w:rsidR="001B7421" w:rsidRDefault="001B7421" w:rsidP="003C7DB0">
            <w:pPr>
              <w:jc w:val="center"/>
            </w:pPr>
            <w:r>
              <w:t>109</w:t>
            </w:r>
          </w:p>
        </w:tc>
        <w:tc>
          <w:tcPr>
            <w:tcW w:w="1071" w:type="dxa"/>
            <w:tcBorders>
              <w:top w:val="single" w:sz="4" w:space="0" w:color="auto"/>
              <w:left w:val="single" w:sz="4" w:space="0" w:color="auto"/>
              <w:bottom w:val="single" w:sz="4" w:space="0" w:color="auto"/>
              <w:right w:val="single" w:sz="4" w:space="0" w:color="auto"/>
            </w:tcBorders>
            <w:noWrap/>
            <w:vAlign w:val="center"/>
          </w:tcPr>
          <w:p w:rsidR="001B7421" w:rsidRDefault="001B7421" w:rsidP="003C7DB0">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center"/>
            </w:pPr>
            <w:r>
              <w:t>30,00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right"/>
            </w:pPr>
            <w:r>
              <w:t>3270,00</w:t>
            </w:r>
          </w:p>
        </w:tc>
      </w:tr>
      <w:tr w:rsidR="001B7421" w:rsidTr="003C7DB0">
        <w:trPr>
          <w:trHeight w:val="175"/>
        </w:trPr>
        <w:tc>
          <w:tcPr>
            <w:tcW w:w="946" w:type="dxa"/>
            <w:vMerge/>
            <w:tcBorders>
              <w:top w:val="nil"/>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center"/>
              <w:rPr>
                <w:b/>
              </w:rP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1B7421" w:rsidRDefault="001B7421" w:rsidP="003C7DB0"/>
        </w:tc>
        <w:tc>
          <w:tcPr>
            <w:tcW w:w="708" w:type="dxa"/>
            <w:tcBorders>
              <w:top w:val="single" w:sz="4" w:space="0" w:color="auto"/>
              <w:left w:val="single" w:sz="4" w:space="0" w:color="auto"/>
              <w:bottom w:val="single" w:sz="4" w:space="0" w:color="auto"/>
              <w:right w:val="single" w:sz="4" w:space="0" w:color="auto"/>
            </w:tcBorders>
            <w:hideMark/>
          </w:tcPr>
          <w:p w:rsidR="001B7421" w:rsidRDefault="001B7421" w:rsidP="003C7DB0">
            <w:pPr>
              <w:jc w:val="center"/>
              <w:rPr>
                <w:b/>
              </w:rPr>
            </w:pPr>
            <w:r>
              <w:rPr>
                <w:b/>
              </w:rPr>
              <w:t>145</w:t>
            </w:r>
          </w:p>
        </w:tc>
        <w:tc>
          <w:tcPr>
            <w:tcW w:w="749" w:type="dxa"/>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jc w:val="center"/>
              <w:rPr>
                <w:b/>
              </w:rPr>
            </w:pPr>
            <w:r>
              <w:rPr>
                <w:b/>
              </w:rPr>
              <w:t>259</w:t>
            </w:r>
          </w:p>
        </w:tc>
        <w:tc>
          <w:tcPr>
            <w:tcW w:w="1071" w:type="dxa"/>
            <w:tcBorders>
              <w:top w:val="nil"/>
              <w:left w:val="single" w:sz="4" w:space="0" w:color="auto"/>
              <w:bottom w:val="single" w:sz="4" w:space="0" w:color="auto"/>
              <w:right w:val="single" w:sz="4" w:space="0" w:color="auto"/>
            </w:tcBorders>
            <w:noWrap/>
            <w:vAlign w:val="center"/>
          </w:tcPr>
          <w:p w:rsidR="001B7421" w:rsidRDefault="001B7421" w:rsidP="003C7DB0">
            <w:pPr>
              <w:jc w:val="right"/>
              <w:rPr>
                <w:b/>
              </w:rPr>
            </w:pPr>
          </w:p>
        </w:tc>
        <w:tc>
          <w:tcPr>
            <w:tcW w:w="1157" w:type="dxa"/>
            <w:tcBorders>
              <w:top w:val="nil"/>
              <w:left w:val="single" w:sz="4" w:space="0" w:color="auto"/>
              <w:bottom w:val="single" w:sz="4" w:space="0" w:color="auto"/>
              <w:right w:val="single" w:sz="4" w:space="0" w:color="auto"/>
            </w:tcBorders>
            <w:noWrap/>
            <w:vAlign w:val="center"/>
          </w:tcPr>
          <w:p w:rsidR="001B7421" w:rsidRDefault="001B7421" w:rsidP="003C7DB0">
            <w:pPr>
              <w:jc w:val="center"/>
              <w:rPr>
                <w:b/>
              </w:rPr>
            </w:pPr>
          </w:p>
        </w:tc>
        <w:tc>
          <w:tcPr>
            <w:tcW w:w="1134" w:type="dxa"/>
            <w:tcBorders>
              <w:top w:val="nil"/>
              <w:left w:val="single" w:sz="4" w:space="0" w:color="auto"/>
              <w:bottom w:val="single" w:sz="4" w:space="0" w:color="auto"/>
              <w:right w:val="single" w:sz="4" w:space="0" w:color="auto"/>
            </w:tcBorders>
            <w:noWrap/>
            <w:vAlign w:val="center"/>
            <w:hideMark/>
          </w:tcPr>
          <w:p w:rsidR="001B7421" w:rsidRDefault="001B7421" w:rsidP="003C7DB0">
            <w:pPr>
              <w:jc w:val="right"/>
              <w:rPr>
                <w:b/>
              </w:rPr>
            </w:pPr>
            <w:r>
              <w:rPr>
                <w:b/>
              </w:rPr>
              <w:t>7770,00</w:t>
            </w:r>
          </w:p>
        </w:tc>
      </w:tr>
      <w:tr w:rsidR="001B7421" w:rsidTr="003C7DB0">
        <w:trPr>
          <w:trHeight w:val="175"/>
        </w:trPr>
        <w:tc>
          <w:tcPr>
            <w:tcW w:w="946" w:type="dxa"/>
            <w:vMerge/>
            <w:tcBorders>
              <w:top w:val="nil"/>
              <w:left w:val="single" w:sz="4" w:space="0" w:color="auto"/>
              <w:bottom w:val="single" w:sz="4" w:space="0" w:color="auto"/>
              <w:right w:val="single" w:sz="4" w:space="0" w:color="auto"/>
            </w:tcBorders>
            <w:vAlign w:val="center"/>
            <w:hideMark/>
          </w:tcPr>
          <w:p w:rsidR="001B7421" w:rsidRDefault="001B7421" w:rsidP="003C7DB0">
            <w:pPr>
              <w:rPr>
                <w:b/>
                <w:bCs/>
              </w:rPr>
            </w:pPr>
          </w:p>
        </w:tc>
        <w:tc>
          <w:tcPr>
            <w:tcW w:w="4300" w:type="dxa"/>
            <w:gridSpan w:val="3"/>
            <w:tcBorders>
              <w:top w:val="single" w:sz="4" w:space="0" w:color="auto"/>
              <w:left w:val="single" w:sz="4" w:space="0" w:color="auto"/>
              <w:bottom w:val="single" w:sz="4" w:space="0" w:color="auto"/>
              <w:right w:val="single" w:sz="4" w:space="0" w:color="auto"/>
            </w:tcBorders>
            <w:noWrap/>
            <w:vAlign w:val="center"/>
            <w:hideMark/>
          </w:tcPr>
          <w:p w:rsidR="001B7421" w:rsidRDefault="001B7421" w:rsidP="003C7DB0">
            <w:pPr>
              <w:jc w:val="center"/>
              <w:rPr>
                <w:b/>
                <w:bCs/>
              </w:rPr>
            </w:pPr>
            <w:r>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jc w:val="center"/>
              <w:rPr>
                <w:b/>
                <w:bCs/>
              </w:rPr>
            </w:pPr>
            <w:r>
              <w:rPr>
                <w:b/>
                <w:bCs/>
              </w:rPr>
              <w:t>465</w:t>
            </w:r>
          </w:p>
        </w:tc>
        <w:tc>
          <w:tcPr>
            <w:tcW w:w="749" w:type="dxa"/>
            <w:tcBorders>
              <w:top w:val="single" w:sz="4" w:space="0" w:color="auto"/>
              <w:left w:val="single" w:sz="4" w:space="0" w:color="auto"/>
              <w:bottom w:val="single" w:sz="4" w:space="0" w:color="auto"/>
              <w:right w:val="single" w:sz="4" w:space="0" w:color="auto"/>
            </w:tcBorders>
            <w:vAlign w:val="center"/>
            <w:hideMark/>
          </w:tcPr>
          <w:p w:rsidR="001B7421" w:rsidRDefault="001B7421" w:rsidP="003C7DB0">
            <w:pPr>
              <w:jc w:val="center"/>
              <w:rPr>
                <w:b/>
                <w:bCs/>
              </w:rPr>
            </w:pPr>
            <w:r>
              <w:rPr>
                <w:b/>
                <w:bCs/>
              </w:rPr>
              <w:t>829</w:t>
            </w:r>
          </w:p>
        </w:tc>
        <w:tc>
          <w:tcPr>
            <w:tcW w:w="1071" w:type="dxa"/>
            <w:tcBorders>
              <w:top w:val="nil"/>
              <w:left w:val="single" w:sz="4" w:space="0" w:color="auto"/>
              <w:bottom w:val="single" w:sz="4" w:space="0" w:color="auto"/>
              <w:right w:val="single" w:sz="4" w:space="0" w:color="auto"/>
            </w:tcBorders>
            <w:noWrap/>
            <w:vAlign w:val="center"/>
          </w:tcPr>
          <w:p w:rsidR="001B7421" w:rsidRDefault="001B7421" w:rsidP="003C7DB0">
            <w:pPr>
              <w:jc w:val="right"/>
              <w:rPr>
                <w:b/>
                <w:bCs/>
                <w:lang w:val="en-US"/>
              </w:rPr>
            </w:pPr>
          </w:p>
        </w:tc>
        <w:tc>
          <w:tcPr>
            <w:tcW w:w="1157" w:type="dxa"/>
            <w:tcBorders>
              <w:top w:val="nil"/>
              <w:left w:val="single" w:sz="4" w:space="0" w:color="auto"/>
              <w:bottom w:val="single" w:sz="4" w:space="0" w:color="auto"/>
              <w:right w:val="single" w:sz="4" w:space="0" w:color="auto"/>
            </w:tcBorders>
            <w:noWrap/>
            <w:vAlign w:val="center"/>
          </w:tcPr>
          <w:p w:rsidR="001B7421" w:rsidRDefault="001B7421" w:rsidP="003C7DB0">
            <w:pPr>
              <w:jc w:val="center"/>
              <w:rPr>
                <w:b/>
                <w:bCs/>
              </w:rPr>
            </w:pPr>
          </w:p>
        </w:tc>
        <w:tc>
          <w:tcPr>
            <w:tcW w:w="1134" w:type="dxa"/>
            <w:tcBorders>
              <w:top w:val="nil"/>
              <w:left w:val="single" w:sz="4" w:space="0" w:color="auto"/>
              <w:bottom w:val="single" w:sz="4" w:space="0" w:color="auto"/>
              <w:right w:val="single" w:sz="4" w:space="0" w:color="auto"/>
            </w:tcBorders>
            <w:noWrap/>
            <w:vAlign w:val="center"/>
            <w:hideMark/>
          </w:tcPr>
          <w:p w:rsidR="001B7421" w:rsidRDefault="001B7421" w:rsidP="003C7DB0">
            <w:pPr>
              <w:jc w:val="right"/>
              <w:rPr>
                <w:b/>
                <w:bCs/>
              </w:rPr>
            </w:pPr>
            <w:r>
              <w:rPr>
                <w:b/>
                <w:bCs/>
              </w:rPr>
              <w:t>24870,00</w:t>
            </w: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lastRenderedPageBreak/>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EC7CD8" w:rsidRPr="00D63F10" w:rsidRDefault="00EC7CD8" w:rsidP="00EC7CD8">
      <w:pPr>
        <w:pStyle w:val="a3"/>
        <w:tabs>
          <w:tab w:val="left" w:pos="1701"/>
        </w:tabs>
        <w:spacing w:before="120" w:after="0"/>
        <w:rPr>
          <w:sz w:val="24"/>
          <w:szCs w:val="24"/>
        </w:rPr>
      </w:pP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lastRenderedPageBreak/>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lastRenderedPageBreak/>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r w:rsidR="00F11D2B" w:rsidRPr="00D63F10">
        <w:rPr>
          <w:sz w:val="24"/>
          <w:szCs w:val="24"/>
          <w:lang w:val="bg-BG"/>
        </w:rPr>
        <w:t>V</w:t>
      </w:r>
      <w:r w:rsidR="00F11D2B" w:rsidRPr="00D63F10">
        <w:rPr>
          <w:sz w:val="24"/>
          <w:szCs w:val="24"/>
        </w:rPr>
        <w:t xml:space="preserve"> и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r w:rsidR="00F11D2B" w:rsidRPr="00D63F10">
        <w:rPr>
          <w:spacing w:val="-2"/>
          <w:sz w:val="24"/>
          <w:szCs w:val="24"/>
          <w:lang w:val="ru-RU"/>
        </w:rPr>
        <w:t xml:space="preserve"> </w:t>
      </w:r>
      <w:r w:rsidR="00F11D2B" w:rsidRPr="00D63F10">
        <w:rPr>
          <w:sz w:val="24"/>
          <w:szCs w:val="24"/>
          <w:lang w:val="ru-RU"/>
        </w:rPr>
        <w:t>ИЗПЪЛНИТЕЛЯТ</w:t>
      </w:r>
      <w:r w:rsidR="00F11D2B" w:rsidRPr="00D63F10">
        <w:rPr>
          <w:spacing w:val="-2"/>
          <w:sz w:val="24"/>
          <w:szCs w:val="24"/>
          <w:lang w:val="ru-RU"/>
        </w:rPr>
        <w:t xml:space="preserve"> е длъжен писмено да </w:t>
      </w:r>
      <w:r w:rsidR="00750697">
        <w:rPr>
          <w:spacing w:val="-2"/>
          <w:sz w:val="24"/>
          <w:szCs w:val="24"/>
          <w:lang w:val="ru-RU"/>
        </w:rPr>
        <w:t>уведоми ВЪЗЛОЖИТЕЛЯ в тридневен</w:t>
      </w:r>
      <w:r w:rsidR="00F11D2B" w:rsidRPr="00D63F10">
        <w:rPr>
          <w:spacing w:val="-2"/>
          <w:sz w:val="24"/>
          <w:szCs w:val="24"/>
          <w:lang w:val="ru-RU"/>
        </w:rPr>
        <w:t xml:space="preserve">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lastRenderedPageBreak/>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EC7CD8" w:rsidRDefault="00F11D2B" w:rsidP="00EC7CD8">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7CD8" w:rsidRPr="00EC7CD8" w:rsidRDefault="00EC7CD8" w:rsidP="00EC7CD8">
      <w:pPr>
        <w:tabs>
          <w:tab w:val="left" w:pos="1843"/>
        </w:tabs>
        <w:jc w:val="both"/>
        <w:rPr>
          <w:sz w:val="24"/>
          <w:szCs w:val="24"/>
        </w:rPr>
      </w:pPr>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C7CD8" w:rsidRPr="003622B9" w:rsidRDefault="00EC7CD8" w:rsidP="002B7A50">
      <w:pPr>
        <w:tabs>
          <w:tab w:val="left" w:pos="450"/>
          <w:tab w:val="left" w:pos="851"/>
          <w:tab w:val="left" w:pos="1701"/>
          <w:tab w:val="right" w:pos="9974"/>
        </w:tabs>
        <w:ind w:firstLine="1134"/>
        <w:jc w:val="both"/>
        <w:rPr>
          <w:sz w:val="24"/>
          <w:szCs w:val="24"/>
          <w:lang w:val="bg-BG"/>
        </w:rPr>
      </w:pP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r w:rsidR="00750697">
        <w:rPr>
          <w:spacing w:val="-2"/>
          <w:sz w:val="24"/>
          <w:szCs w:val="24"/>
          <w:lang w:val="ru-RU"/>
        </w:rPr>
        <w:t>съгласно</w:t>
      </w:r>
      <w:r w:rsidRPr="00D63F10">
        <w:rPr>
          <w:spacing w:val="-2"/>
          <w:sz w:val="24"/>
          <w:szCs w:val="24"/>
          <w:lang w:val="ru-RU"/>
        </w:rPr>
        <w:t xml:space="preserve"> </w:t>
      </w:r>
      <w:r w:rsidRPr="00D63F10">
        <w:rPr>
          <w:spacing w:val="-4"/>
          <w:sz w:val="24"/>
          <w:szCs w:val="24"/>
          <w:lang w:val="bg-BG"/>
        </w:rPr>
        <w:t xml:space="preserve">Заповед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w:t>
      </w:r>
      <w:proofErr w:type="gramStart"/>
      <w:r w:rsidRPr="00D63F10">
        <w:rPr>
          <w:sz w:val="24"/>
          <w:szCs w:val="24"/>
          <w:lang w:val="ru-RU"/>
        </w:rPr>
        <w:t>от страна</w:t>
      </w:r>
      <w:proofErr w:type="gramEnd"/>
      <w:r w:rsidRPr="00D63F10">
        <w:rPr>
          <w:sz w:val="24"/>
          <w:szCs w:val="24"/>
          <w:lang w:val="ru-RU"/>
        </w:rPr>
        <w:t xml:space="preserve"> на ДГС за оказване на помощ при потушаване на горски пожари (извън обекта на работа - само след съгласуване с директора на ДГС и/или РСПАБ), кат</w:t>
      </w:r>
      <w:r w:rsidR="00750697">
        <w:rPr>
          <w:sz w:val="24"/>
          <w:szCs w:val="24"/>
          <w:lang w:val="ru-RU"/>
        </w:rPr>
        <w:t>о се</w:t>
      </w:r>
      <w:r w:rsidRPr="00D63F10">
        <w:rPr>
          <w:sz w:val="24"/>
          <w:szCs w:val="24"/>
          <w:lang w:val="ru-RU"/>
        </w:rPr>
        <w:t xml:space="preserve"> включи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lastRenderedPageBreak/>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lastRenderedPageBreak/>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r w:rsidR="00750697">
        <w:rPr>
          <w:sz w:val="24"/>
          <w:szCs w:val="24"/>
          <w:shd w:val="clear" w:color="auto" w:fill="FFFFFF"/>
          <w:lang w:val="bg-BG" w:eastAsia="ar-SA"/>
        </w:rPr>
        <w:t xml:space="preserve"> </w:t>
      </w:r>
      <w:r w:rsidR="00872E02" w:rsidRPr="00872E02">
        <w:rPr>
          <w:sz w:val="24"/>
          <w:szCs w:val="24"/>
          <w:shd w:val="clear" w:color="auto" w:fill="FFFFFF"/>
          <w:lang w:val="en-US" w:eastAsia="ar-SA"/>
        </w:rPr>
        <w:t>………………………</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lastRenderedPageBreak/>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Default="00A8608E" w:rsidP="00A75839">
      <w:pPr>
        <w:ind w:firstLine="1134"/>
        <w:jc w:val="both"/>
        <w:rPr>
          <w:color w:val="000000"/>
          <w:sz w:val="24"/>
          <w:szCs w:val="24"/>
          <w:shd w:val="clear" w:color="auto" w:fill="FFFFFF"/>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EC7CD8" w:rsidRPr="00DC7C2A" w:rsidRDefault="00EC7CD8" w:rsidP="00A75839">
      <w:pPr>
        <w:ind w:firstLine="1134"/>
        <w:jc w:val="both"/>
        <w:rPr>
          <w:spacing w:val="-4"/>
          <w:sz w:val="24"/>
          <w:szCs w:val="24"/>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xml:space="preserve">- в срок по-дълъг от 30 дни от датата на издаване на първото позволително за сеч за насаждение в обекта. В този случай страните не си дължат </w:t>
      </w:r>
      <w:r w:rsidRPr="00D63F10">
        <w:rPr>
          <w:sz w:val="24"/>
          <w:szCs w:val="24"/>
        </w:rPr>
        <w:lastRenderedPageBreak/>
        <w:t>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Default="005C6B75" w:rsidP="005C6B75">
      <w:pPr>
        <w:pStyle w:val="a9"/>
        <w:tabs>
          <w:tab w:val="left" w:pos="851"/>
        </w:tabs>
        <w:ind w:left="360"/>
        <w:jc w:val="both"/>
        <w:rPr>
          <w:sz w:val="24"/>
          <w:szCs w:val="24"/>
        </w:rPr>
      </w:pPr>
    </w:p>
    <w:p w:rsidR="00EC7CD8" w:rsidRPr="00D63F10" w:rsidRDefault="00EC7CD8"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Default="005C6B75" w:rsidP="005C6B75">
      <w:pPr>
        <w:rPr>
          <w:lang w:val="bg-BG"/>
        </w:rPr>
      </w:pPr>
    </w:p>
    <w:p w:rsidR="00EC7CD8" w:rsidRPr="00E37D79" w:rsidRDefault="00EC7CD8"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lastRenderedPageBreak/>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EC7CD8">
      <w:pgSz w:w="11906" w:h="16838"/>
      <w:pgMar w:top="851" w:right="849"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B7421"/>
    <w:rsid w:val="001C153B"/>
    <w:rsid w:val="001C157F"/>
    <w:rsid w:val="001C1977"/>
    <w:rsid w:val="001C2FE1"/>
    <w:rsid w:val="001D0894"/>
    <w:rsid w:val="001D0D15"/>
    <w:rsid w:val="001D79F5"/>
    <w:rsid w:val="001E0DCE"/>
    <w:rsid w:val="001F4586"/>
    <w:rsid w:val="002045F9"/>
    <w:rsid w:val="002103E3"/>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0697"/>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408E"/>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60EF1"/>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1CC9"/>
    <w:rsid w:val="00CF6278"/>
    <w:rsid w:val="00D014B1"/>
    <w:rsid w:val="00D16CE5"/>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C7CD8"/>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05BB758"/>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5248</Words>
  <Characters>29920</Characters>
  <Application>Microsoft Office Word</Application>
  <DocSecurity>0</DocSecurity>
  <Lines>249</Lines>
  <Paragraphs>70</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2024-11-12T09:55:00Z</dcterms:created>
  <dcterms:modified xsi:type="dcterms:W3CDTF">2024-11-12T09:55:00Z</dcterms:modified>
</cp:coreProperties>
</file>